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ZIM Horizon Landesförderung Abgrenzung</w:t>
      </w:r>
    </w:p>
    <w:p>
      <w:pPr>
        <w:pStyle w:val="Heading2"/>
      </w:pPr>
      <w:r>
        <w:rPr>
          <w:rFonts w:ascii="Times New Roman" w:hAnsi="Times New Roman"/>
        </w:rPr>
        <w:t>Förderkulisse</w:t>
      </w:r>
    </w:p>
    <w:p>
      <w:pPr>
        <w:jc w:val="left"/>
      </w:pPr>
      <w:r>
        <w:t>Riedblick hatte 2023/2024 ein ZIM-Vorprojekt "Humidity Guard". Für 2026 ist außerdem ein Horizon-Europe-Konsortium in Vorbereitung. Das Controlling hat einige Kostenstellen unsauber übernommen. Die Forschungszulage kann mit anderen Förderungen koexistieren, aber dieselben Aufwendungen dürfen nicht doppelt gefördert werden.</w:t>
      </w:r>
    </w:p>
    <w:p>
      <w:pPr>
        <w:pStyle w:val="Heading2"/>
      </w:pPr>
      <w:r>
        <w:rPr>
          <w:rFonts w:ascii="Times New Roman" w:hAnsi="Times New Roman"/>
        </w:rPr>
        <w:t>Abgrenzungsmatrix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Förderweg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Überschneidung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ZIM Humidity Guard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2023-06/2024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Voruntersuchung Feuchtesensor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AP1-Recherche teilweise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nicht geförderte Eigenanteile prüfen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Landeszuschuss Hessen Digital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Dashboard-Integration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AP6 Produktisierung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eher nicht FZulG-relevant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Horizon-Anbahnung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Konsortium Edge Maintenance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Reisekosten/Proposal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nicht als FuE-Personalkosten ansetzen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Forschungszulage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2024-2026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Drift Compensation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AP2/AP3/AP5/AP7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Kostenstellen bereinigen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Aktenproblem</w:t>
      </w:r>
    </w:p>
    <w:p>
      <w:pPr>
        <w:jc w:val="left"/>
      </w:pPr>
      <w:r>
        <w:t>Die CFO nennt im Banktermin die Forschungszulage und ZIM-Förderung zusammen. Das ist für Liquiditätszwecke verständlich, aber die Förderakte muss trennen: andere Zuschüsse, dieselben Kosten, Beihilfeobergrenzen, Projektgrenzen.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