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Gemeinkostenpauschale 2026 Stichtag</w:t>
      </w:r>
    </w:p>
    <w:p>
      <w:pPr>
        <w:pStyle w:val="Heading2"/>
      </w:pPr>
      <w:r>
        <w:rPr>
          <w:rFonts w:ascii="Times New Roman" w:hAnsi="Times New Roman"/>
        </w:rPr>
        <w:t>Streitpunkt</w:t>
      </w:r>
    </w:p>
    <w:p>
      <w:pPr>
        <w:jc w:val="left"/>
      </w:pPr>
      <w:r>
        <w:t>Das Controlling möchte 2026 eine pauschale Gemein- und Betriebskostenposition ansetzen. Die Rechtslage sieht ab 2026 eine Pauschale vor, aber nur unter den gesetzlichen Voraussetzungen. In der Akte ist unklar, ob AP7 ein eigenes nach dem 31.12.2025 begonnenes Vorhaben ist oder nur ein Modul des seit 2024 laufenden Gesamtvorhabens.</w:t>
      </w:r>
    </w:p>
    <w:p>
      <w:pPr>
        <w:pStyle w:val="Heading2"/>
      </w:pPr>
      <w:r>
        <w:rPr>
          <w:rFonts w:ascii="Times New Roman" w:hAnsi="Times New Roman"/>
        </w:rPr>
        <w:t>Argumente für eigenes Vorhaben AP7</w:t>
      </w:r>
    </w:p>
    <w:p>
      <w:pPr>
        <w:pStyle w:val="ListBullet"/>
      </w:pPr>
      <w:r>
        <w:t>neues technisches Ziel: Selbstdiagnose mit Referenzsensor statt bloßer Driftkompensation;</w:t>
      </w:r>
    </w:p>
    <w:p>
      <w:pPr>
        <w:pStyle w:val="ListBullet"/>
      </w:pPr>
      <w:r>
        <w:t>neuer Versuchsaufbau ab Januar 2026;</w:t>
      </w:r>
    </w:p>
    <w:p>
      <w:pPr>
        <w:pStyle w:val="ListBullet"/>
      </w:pPr>
      <w:r>
        <w:t>neues Budget und neue Arbeitspaketnummer;</w:t>
      </w:r>
    </w:p>
    <w:p>
      <w:pPr>
        <w:pStyle w:val="ListBullet"/>
      </w:pPr>
      <w:r>
        <w:t>andere Erfolgskriterien und Pilotanlage.</w:t>
      </w:r>
    </w:p>
    <w:p>
      <w:pPr>
        <w:pStyle w:val="Heading2"/>
      </w:pPr>
      <w:r>
        <w:rPr>
          <w:rFonts w:ascii="Times New Roman" w:hAnsi="Times New Roman"/>
        </w:rPr>
        <w:t>Argumente dagegen</w:t>
      </w:r>
    </w:p>
    <w:p>
      <w:pPr>
        <w:pStyle w:val="ListBullet"/>
      </w:pPr>
      <w:r>
        <w:t>Projektname bleibt "AeroSense Edge";</w:t>
      </w:r>
    </w:p>
    <w:p>
      <w:pPr>
        <w:pStyle w:val="ListBullet"/>
      </w:pPr>
      <w:r>
        <w:t>Investorenpräsentation nennt AP7 als "Phase 2";</w:t>
      </w:r>
    </w:p>
    <w:p>
      <w:pPr>
        <w:pStyle w:val="ListBullet"/>
      </w:pPr>
      <w:r>
        <w:t>Personen, Hardware und Datenbasis überschneiden sich stark;</w:t>
      </w:r>
    </w:p>
    <w:p>
      <w:pPr>
        <w:pStyle w:val="ListBullet"/>
      </w:pPr>
      <w:r>
        <w:t>Produkt-Roadmap betrachtet alles als ein Entwicklungsprojekt.</w:t>
      </w:r>
    </w:p>
    <w:p>
      <w:pPr>
        <w:pStyle w:val="Heading2"/>
      </w:pPr>
      <w:r>
        <w:rPr>
          <w:rFonts w:ascii="Times New Roman" w:hAnsi="Times New Roman"/>
        </w:rPr>
        <w:t>Arbeitslinie</w:t>
      </w:r>
    </w:p>
    <w:p>
      <w:pPr>
        <w:jc w:val="left"/>
      </w:pPr>
      <w:r>
        <w:t>Das Plugin sollte hier keine automatische Ja/Nein-Antwort geben. Besser ist ein Alternativvortrag: konservative Berechnung ohne Pauschale, verteidigbare Berechnung mit AP7 als eigenem Vorhaben, Risikoabschlag und Nachweisbedarf.</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