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KMU Verbundunternehmen Investoren</w:t>
      </w:r>
    </w:p>
    <w:p>
      <w:pPr>
        <w:pStyle w:val="Heading2"/>
      </w:pPr>
      <w:r>
        <w:rPr>
          <w:rFonts w:ascii="Times New Roman" w:hAnsi="Times New Roman"/>
        </w:rPr>
        <w:t>Gesellschafterstand</w:t>
      </w:r>
    </w:p>
    <w:p>
      <w:pPr>
        <w:jc w:val="left"/>
      </w:pPr>
      <w:r>
        <w:t>Riedblick ist klein, aber nicht isoliert. Seit Dezember 2025 hält Helikon Growth Fund II 27 Prozent. Zusätzlich bestehen Wandeldarlehen mit Informationsrechten und Zustimmungsvorbehalten. Die CFO möchte die KMU-Erhöhung der Forschungszulage beantragen.</w:t>
      </w:r>
    </w:p>
    <w:p>
      <w:pPr>
        <w:pStyle w:val="Heading2"/>
      </w:pPr>
      <w:r>
        <w:rPr>
          <w:rFonts w:ascii="Times New Roman" w:hAnsi="Times New Roman"/>
        </w:rPr>
        <w:t>Prüfbedarf</w:t>
      </w:r>
    </w:p>
    <w:p>
      <w:pPr>
        <w:pStyle w:val="ListBullet"/>
      </w:pPr>
      <w:r>
        <w:t>Mitarbeiterzahl, Jahresumsatz, Bilanzsumme.</w:t>
      </w:r>
    </w:p>
    <w:p>
      <w:pPr>
        <w:pStyle w:val="ListBullet"/>
      </w:pPr>
      <w:r>
        <w:t>Verbundene oder Partnerunternehmen nach KMU-Definition.</w:t>
      </w:r>
    </w:p>
    <w:p>
      <w:pPr>
        <w:pStyle w:val="ListBullet"/>
      </w:pPr>
      <w:r>
        <w:t>Beherrschender Einfluss über Stimmrechte, Verträge, Vetorechte oder faktische Kontrolle.</w:t>
      </w:r>
    </w:p>
    <w:p>
      <w:pPr>
        <w:pStyle w:val="ListBullet"/>
      </w:pPr>
      <w:r>
        <w:t>Konzernrechnungslegung und HGB-Verbundbezug.</w:t>
      </w:r>
    </w:p>
    <w:p>
      <w:pPr>
        <w:pStyle w:val="ListBullet"/>
      </w:pPr>
      <w:r>
        <w:t>Verteilung der Bemessungsgrundlage bei verbundenen Unternehmen.</w:t>
      </w:r>
    </w:p>
    <w:p>
      <w:pPr>
        <w:pStyle w:val="Heading2"/>
      </w:pPr>
      <w:r>
        <w:rPr>
          <w:rFonts w:ascii="Times New Roman" w:hAnsi="Times New Roman"/>
        </w:rPr>
        <w:t>Aktenproblem</w:t>
      </w:r>
    </w:p>
    <w:p>
      <w:pPr>
        <w:jc w:val="left"/>
      </w:pPr>
      <w:r>
        <w:t>Der Investor nennt Riedblick im Reporting "portfolio controlled asset", die Satzung gewährt aber keine klassische Mehrheit. Es gibt Zustimmungsvorbehalte für Budget, Geschäftsführerbestellung, IP-Verkauf und Finanzierungsrunden. Ob das für KMU-/Verbundzwecke kritisch ist, muss gesondert geprüft werden.</w:t>
      </w:r>
    </w:p>
    <w:p>
      <w:pPr>
        <w:pStyle w:val="Heading2"/>
      </w:pPr>
      <w:r>
        <w:rPr>
          <w:rFonts w:ascii="Times New Roman" w:hAnsi="Times New Roman"/>
        </w:rPr>
        <w:t>Outputwunsch</w:t>
      </w:r>
    </w:p>
    <w:p>
      <w:pPr>
        <w:jc w:val="left"/>
      </w:pPr>
      <w:r>
        <w:t>Eine kurze KMU-Ampel für Geschäftsführung und Steuerberater: grün, gelb, rot mit Begründung und Unterlagenliste.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