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Verlust Insolvenz Liquidität Cashflow</w:t>
      </w:r>
    </w:p>
    <w:p>
      <w:pPr>
        <w:pStyle w:val="Heading2"/>
      </w:pPr>
      <w:r>
        <w:rPr>
          <w:rFonts w:ascii="Times New Roman" w:hAnsi="Times New Roman"/>
        </w:rPr>
        <w:t>Situation</w:t>
      </w:r>
    </w:p>
    <w:p>
      <w:pPr>
        <w:jc w:val="left"/>
      </w:pPr>
      <w:r>
        <w:t>Riedblick macht 2026 voraussichtlich Verlust. Die Bank verlangt monatliches Reporting. Die Geschäftsführung möchte wissen, ob die Forschungszulage als Liquiditätsbaustein in die Fortführungsplanung aufgenommen werden darf.</w:t>
      </w:r>
    </w:p>
    <w:p>
      <w:pPr>
        <w:pStyle w:val="Heading2"/>
      </w:pPr>
      <w:r>
        <w:rPr>
          <w:rFonts w:ascii="Times New Roman" w:hAnsi="Times New Roman"/>
        </w:rPr>
        <w:t>Richtigstellung</w:t>
      </w:r>
    </w:p>
    <w:p>
      <w:pPr>
        <w:jc w:val="left"/>
      </w:pPr>
      <w:r>
        <w:t>Die Forschungszulage kann in Verlustjahren besonders wertvoll sein, weil ein nach Anrechnung verbleibender Überschuss erstattet werden kann. Sie ist aber kein Sofortgeld ohne Verfahren. Es braucht die technische Bescheinigung, den Antrag beim Finanzamt, Belege und eine plausible Zeitachse. In einer Insolvenz stellen sich zusätzliche Fragen zur Anspruchsinhaberschaft, Masse, Aufrechnung und Antragstellung durch die Verwaltung.</w:t>
      </w:r>
    </w:p>
    <w:p>
      <w:pPr>
        <w:pStyle w:val="Heading2"/>
      </w:pPr>
      <w:r>
        <w:rPr>
          <w:rFonts w:ascii="Times New Roman" w:hAnsi="Times New Roman"/>
        </w:rPr>
        <w:t>Cashflow-Arbeitsmodell</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Szenario</w:t>
            </w:r>
          </w:p>
        </w:tc>
        <w:tc>
          <w:tcPr>
            <w:tcW w:type="dxa" w:w="2268"/>
          </w:tcPr>
          <w:p>
            <w:r>
              <w:rPr>
                <w:rFonts w:ascii="Times New Roman" w:hAnsi="Times New Roman"/>
                <w:b/>
                <w:sz w:val="20"/>
              </w:rPr>
              <w:t>Zahlung</w:t>
            </w:r>
          </w:p>
        </w:tc>
        <w:tc>
          <w:tcPr>
            <w:tcW w:type="dxa" w:w="2268"/>
          </w:tcPr>
          <w:p>
            <w:r>
              <w:rPr>
                <w:rFonts w:ascii="Times New Roman" w:hAnsi="Times New Roman"/>
                <w:b/>
                <w:sz w:val="20"/>
              </w:rPr>
              <w:t>Risiko</w:t>
            </w:r>
          </w:p>
        </w:tc>
        <w:tc>
          <w:tcPr>
            <w:tcW w:type="dxa" w:w="2268"/>
          </w:tcPr>
          <w:p>
            <w:r>
              <w:rPr>
                <w:rFonts w:ascii="Times New Roman" w:hAnsi="Times New Roman"/>
                <w:b/>
                <w:sz w:val="20"/>
              </w:rPr>
              <w:t>Kommentar</w:t>
            </w:r>
          </w:p>
        </w:tc>
      </w:tr>
      <w:tr>
        <w:tc>
          <w:tcPr>
            <w:tcW w:type="dxa" w:w="2268"/>
          </w:tcPr>
          <w:p>
            <w:r>
              <w:rPr>
                <w:rFonts w:ascii="Times New Roman" w:hAnsi="Times New Roman"/>
                <w:sz w:val="20"/>
              </w:rPr>
              <w:t>konservativ</w:t>
            </w:r>
          </w:p>
        </w:tc>
        <w:tc>
          <w:tcPr>
            <w:tcW w:type="dxa" w:w="2268"/>
          </w:tcPr>
          <w:p>
            <w:r>
              <w:rPr>
                <w:rFonts w:ascii="Times New Roman" w:hAnsi="Times New Roman"/>
                <w:sz w:val="20"/>
              </w:rPr>
              <w:t>0 EUR in 2026</w:t>
            </w:r>
          </w:p>
        </w:tc>
        <w:tc>
          <w:tcPr>
            <w:tcW w:type="dxa" w:w="2268"/>
          </w:tcPr>
          <w:p>
            <w:r>
              <w:rPr>
                <w:rFonts w:ascii="Times New Roman" w:hAnsi="Times New Roman"/>
                <w:sz w:val="20"/>
              </w:rPr>
              <w:t>BSFZ offen</w:t>
            </w:r>
          </w:p>
        </w:tc>
        <w:tc>
          <w:tcPr>
            <w:tcW w:type="dxa" w:w="2268"/>
          </w:tcPr>
          <w:p>
            <w:r>
              <w:rPr>
                <w:rFonts w:ascii="Times New Roman" w:hAnsi="Times New Roman"/>
                <w:sz w:val="20"/>
              </w:rPr>
              <w:t>Liquiditätsplanung ohne Zulage</w:t>
            </w:r>
          </w:p>
        </w:tc>
      </w:tr>
      <w:tr>
        <w:tc>
          <w:tcPr>
            <w:tcW w:type="dxa" w:w="2268"/>
          </w:tcPr>
          <w:p>
            <w:r>
              <w:rPr>
                <w:rFonts w:ascii="Times New Roman" w:hAnsi="Times New Roman"/>
                <w:sz w:val="20"/>
              </w:rPr>
              <w:t>realistisch</w:t>
            </w:r>
          </w:p>
        </w:tc>
        <w:tc>
          <w:tcPr>
            <w:tcW w:type="dxa" w:w="2268"/>
          </w:tcPr>
          <w:p>
            <w:r>
              <w:rPr>
                <w:rFonts w:ascii="Times New Roman" w:hAnsi="Times New Roman"/>
                <w:sz w:val="20"/>
              </w:rPr>
              <w:t>210.000 EUR Q2/2027</w:t>
            </w:r>
          </w:p>
        </w:tc>
        <w:tc>
          <w:tcPr>
            <w:tcW w:type="dxa" w:w="2268"/>
          </w:tcPr>
          <w:p>
            <w:r>
              <w:rPr>
                <w:rFonts w:ascii="Times New Roman" w:hAnsi="Times New Roman"/>
                <w:sz w:val="20"/>
              </w:rPr>
              <w:t>Kürzung AP6/Lissabon</w:t>
            </w:r>
          </w:p>
        </w:tc>
        <w:tc>
          <w:tcPr>
            <w:tcW w:type="dxa" w:w="2268"/>
          </w:tcPr>
          <w:p>
            <w:r>
              <w:rPr>
                <w:rFonts w:ascii="Times New Roman" w:hAnsi="Times New Roman"/>
                <w:sz w:val="20"/>
              </w:rPr>
              <w:t>nur nach gesicherter Antragstellung</w:t>
            </w:r>
          </w:p>
        </w:tc>
      </w:tr>
      <w:tr>
        <w:tc>
          <w:tcPr>
            <w:tcW w:type="dxa" w:w="2268"/>
          </w:tcPr>
          <w:p>
            <w:r>
              <w:rPr>
                <w:rFonts w:ascii="Times New Roman" w:hAnsi="Times New Roman"/>
                <w:sz w:val="20"/>
              </w:rPr>
              <w:t>optimistisch</w:t>
            </w:r>
          </w:p>
        </w:tc>
        <w:tc>
          <w:tcPr>
            <w:tcW w:type="dxa" w:w="2268"/>
          </w:tcPr>
          <w:p>
            <w:r>
              <w:rPr>
                <w:rFonts w:ascii="Times New Roman" w:hAnsi="Times New Roman"/>
                <w:sz w:val="20"/>
              </w:rPr>
              <w:t>340.000 EUR Q1/2027</w:t>
            </w:r>
          </w:p>
        </w:tc>
        <w:tc>
          <w:tcPr>
            <w:tcW w:type="dxa" w:w="2268"/>
          </w:tcPr>
          <w:p>
            <w:r>
              <w:rPr>
                <w:rFonts w:ascii="Times New Roman" w:hAnsi="Times New Roman"/>
                <w:sz w:val="20"/>
              </w:rPr>
              <w:t>AP7/Pauschale anerkannt</w:t>
            </w:r>
          </w:p>
        </w:tc>
        <w:tc>
          <w:tcPr>
            <w:tcW w:type="dxa" w:w="2268"/>
          </w:tcPr>
          <w:p>
            <w:r>
              <w:rPr>
                <w:rFonts w:ascii="Times New Roman" w:hAnsi="Times New Roman"/>
                <w:sz w:val="20"/>
              </w:rPr>
              <w:t>nur als Upside, nicht als Covenant-Heilung</w:t>
            </w:r>
          </w:p>
        </w:tc>
      </w:tr>
    </w:tbl>
    <w:p>
      <w:pPr>
        <w:pStyle w:val="Heading2"/>
      </w:pPr>
      <w:r>
        <w:rPr>
          <w:rFonts w:ascii="Times New Roman" w:hAnsi="Times New Roman"/>
        </w:rPr>
        <w:t>Warnung</w:t>
      </w:r>
    </w:p>
    <w:p>
      <w:pPr>
        <w:jc w:val="left"/>
      </w:pPr>
      <w:r>
        <w:t>Die Bankpräsentation darf den Anspruch nicht wie bereits liquide Mittel darstellen. Besser: Antragspfad, wahrscheinlicher Zeitraum, offene Behördenrisiken, Nettoeffekt nach Kürzungen.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