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 Betriebsgeheimnis Portal</w:t>
      </w:r>
    </w:p>
    <w:p>
      <w:pPr>
        <w:pStyle w:val="Heading2"/>
      </w:pPr>
      <w:r>
        <w:rPr>
          <w:rFonts w:ascii="Times New Roman" w:hAnsi="Times New Roman"/>
        </w:rPr>
        <w:t>Problem</w:t>
      </w:r>
    </w:p>
    <w:p>
      <w:pPr>
        <w:jc w:val="left"/>
      </w:pPr>
      <w:r>
        <w:t>Der BSFZ-Antrag muss technisch genug sein, ohne Geschäftsgeheimnisse unnötig offenzulegen. In der Akte finden sich Rohdaten, Kundennamen und Pilotanlagen. Nicht alles gehört ungefiltert ins Portal.</w:t>
      </w:r>
    </w:p>
    <w:p>
      <w:pPr>
        <w:pStyle w:val="Heading2"/>
      </w:pPr>
      <w:r>
        <w:rPr>
          <w:rFonts w:ascii="Times New Roman" w:hAnsi="Times New Roman"/>
        </w:rPr>
        <w:t>Schutzkonzept</w:t>
      </w:r>
    </w:p>
    <w:p>
      <w:pPr>
        <w:pStyle w:val="ListBullet"/>
      </w:pPr>
      <w:r>
        <w:t>Projektnamen und Kundennamen pseudonymisieren, soweit nicht erforderlich.</w:t>
      </w:r>
    </w:p>
    <w:p>
      <w:pPr>
        <w:pStyle w:val="ListBullet"/>
      </w:pPr>
      <w:r>
        <w:t>Technische Parameter nur so weit offenlegen, wie sie die FuE-Unsicherheit belegen.</w:t>
      </w:r>
    </w:p>
    <w:p>
      <w:pPr>
        <w:pStyle w:val="ListBullet"/>
      </w:pPr>
      <w:r>
        <w:t>Patentrelevante Merkmale mit IP-Beratung abstimmen.</w:t>
      </w:r>
    </w:p>
    <w:p>
      <w:pPr>
        <w:pStyle w:val="ListBullet"/>
      </w:pPr>
      <w:r>
        <w:t>Intern eine vollständige Belegakte führen, extern eine prüfbare, aber nicht überoffene Fassung einreichen.</w:t>
      </w:r>
    </w:p>
    <w:p>
      <w:pPr>
        <w:pStyle w:val="ListBullet"/>
      </w:pPr>
      <w:r>
        <w:t>Zugriffsrechte im Portal dokumentieren.</w:t>
      </w:r>
    </w:p>
    <w:p>
      <w:pPr>
        <w:pStyle w:val="Heading2"/>
      </w:pPr>
      <w:r>
        <w:rPr>
          <w:rFonts w:ascii="Times New Roman" w:hAnsi="Times New Roman"/>
        </w:rPr>
        <w:t>Konflikt</w:t>
      </w:r>
    </w:p>
    <w:p>
      <w:pPr>
        <w:jc w:val="left"/>
      </w:pPr>
      <w:r>
        <w:t>Der CTO will die Technik "endlich einmal richtig zeigen". Die CFO will nur eine knappe steuerliche Begründung. Beides ist zu extrem. Die richtige Fassung erklärt das technische Problem, ohne Bauplan und Kundengeheimnisse preiszugeben.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