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Geschäftsführungsvorlage</w:t>
      </w:r>
    </w:p>
    <w:p>
      <w:pPr>
        <w:pStyle w:val="Heading2"/>
      </w:pPr>
      <w:r>
        <w:rPr>
          <w:rFonts w:ascii="Times New Roman" w:hAnsi="Times New Roman"/>
        </w:rPr>
        <w:t>Entscheidungspunkte</w:t>
      </w:r>
    </w:p>
    <w:p>
      <w:pPr>
        <w:pStyle w:val="ListNumber"/>
      </w:pPr>
      <w:r>
        <w:t>Soll die BSFZ-Antwort mit konservativer Bereinigung schwacher AP6-Positionen eingereicht werden?</w:t>
      </w:r>
    </w:p>
    <w:p>
      <w:pPr>
        <w:pStyle w:val="ListNumber"/>
      </w:pPr>
      <w:r>
        <w:t>Soll AP7 als eigenständiges 2026-Vorhaben dargestellt werden oder als Modul mit Risikoabschlag?</w:t>
      </w:r>
    </w:p>
    <w:p>
      <w:pPr>
        <w:pStyle w:val="ListNumber"/>
      </w:pPr>
      <w:r>
        <w:t>Soll die Lissabon-Auftragsforschung vollständig beantragt oder zunächst auf die gut belegten Leistungsblöcke reduziert werden?</w:t>
      </w:r>
    </w:p>
    <w:p>
      <w:pPr>
        <w:pStyle w:val="ListNumber"/>
      </w:pPr>
      <w:r>
        <w:t>Soll gegenüber der Bank ein konservatives Cashflow-Modell verwendet werden?</w:t>
      </w:r>
    </w:p>
    <w:p>
      <w:pPr>
        <w:pStyle w:val="Heading2"/>
      </w:pPr>
      <w:r>
        <w:rPr>
          <w:rFonts w:ascii="Times New Roman" w:hAnsi="Times New Roman"/>
        </w:rPr>
        <w:t>Empfehlung der Arbeitsgruppe</w:t>
      </w:r>
    </w:p>
    <w:p>
      <w:pPr>
        <w:jc w:val="left"/>
      </w:pPr>
      <w:r>
        <w:t>Die Arbeitsgruppe empfiehlt eine glaubwürdige, nicht maximale Antragstellung. Die starken FuE-Arbeiten AP2/AP3/AP5 sollten offensiv verteidigt werden. Produktisierung, Vertrieb und reine Dashboard-Anteile sollten ausgeschieden werden. Bei AP7 soll eine Alternativrechnung aufgenommen werden. Für Lissabon wird ein Leistungsbericht angefordert; bis dahin sollte die Position nicht als sicher behandelt werden.</w:t>
      </w:r>
    </w:p>
    <w:p>
      <w:pPr>
        <w:pStyle w:val="Heading2"/>
      </w:pPr>
      <w:r>
        <w:rPr>
          <w:rFonts w:ascii="Times New Roman" w:hAnsi="Times New Roman"/>
        </w:rPr>
        <w:t>Erwartete Outputs aus dem Plugin</w:t>
      </w:r>
    </w:p>
    <w:p>
      <w:pPr>
        <w:pStyle w:val="ListBullet"/>
      </w:pPr>
      <w:r>
        <w:t>BSFZ-Antwort in Behördenstil.</w:t>
      </w:r>
    </w:p>
    <w:p>
      <w:pPr>
        <w:pStyle w:val="ListBullet"/>
      </w:pPr>
      <w:r>
        <w:t>Finanzamt-Einspruch gegen Kürzung der gut belegten Positionen.</w:t>
      </w:r>
    </w:p>
    <w:p>
      <w:pPr>
        <w:pStyle w:val="ListBullet"/>
      </w:pPr>
      <w:r>
        <w:t>Bereinigte Bemessungsgrundlage mit Ampel.</w:t>
      </w:r>
    </w:p>
    <w:p>
      <w:pPr>
        <w:pStyle w:val="ListBullet"/>
      </w:pPr>
      <w:r>
        <w:t>Vorstandstauglicher Kurzvermerk.</w:t>
      </w:r>
    </w:p>
    <w:p>
      <w:pPr>
        <w:pStyle w:val="ListBullet"/>
      </w:pPr>
      <w:r>
        <w:t>Unterlagenanforderung an CTO, Controlling und Lissabon.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