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Red-Team Reparaturliste</w:t>
      </w:r>
    </w:p>
    <w:p>
      <w:pPr>
        <w:pStyle w:val="Heading2"/>
      </w:pPr>
      <w:r>
        <w:rPr>
          <w:rFonts w:ascii="Times New Roman" w:hAnsi="Times New Roman"/>
        </w:rPr>
        <w:t>Was derzeit zu schwach 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Schwäche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Warum gefährlich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Reparatur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Marketingbegriffe im 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BSFZ liest keine Pitchdecks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Ursache/Wirkung benennen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Stundenblöcke ohne Tagesbezug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kürzt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tagesnahe Belege, Laborjournal, Tickets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AP6 vermischt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streichen oder nur technische Restunsicherheit isolieren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Unterauftrag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Auftragsforschung angreifbar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Lusitano-Bericht und Kostenanteile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KMU-Status nicht 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Quote 35 Prozent unsicher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Investor-/Verbundprüfung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Gemeinkostenpauschale AP7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Stichtag/Vorhaben umstritten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Alternativrechnung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Bankpräsentation zu optimistisch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Haftungs- und Vertrauensrisiko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konservative Liquiditätsdarstellung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Qualitätsmaßstab</w:t>
      </w:r>
    </w:p>
    <w:p>
      <w:pPr>
        <w:jc w:val="left"/>
      </w:pPr>
      <w:r>
        <w:t>Ein guter Fördervortrag wirkt nicht möglichst groß, sondern möglichst überprüfbar. Die Akte soll zeigen: Wir kennen die Grenzen, wir trennen Kosten, wir behaupten nur, was belegt ist, und wir können erklären, warum die verbleibenden Arbeiten echte FuE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