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Laborjournal negative Ergebnisse</w:t>
      </w:r>
    </w:p>
    <w:p>
      <w:pPr>
        <w:pStyle w:val="Heading2"/>
      </w:pPr>
      <w:r>
        <w:rPr>
          <w:rFonts w:ascii="Times New Roman" w:hAnsi="Times New Roman"/>
        </w:rPr>
        <w:t>Warum diese Datei wichtig ist</w:t>
      </w:r>
    </w:p>
    <w:p>
      <w:pPr>
        <w:jc w:val="left"/>
      </w:pPr>
      <w:r>
        <w:t>Negative Ergebnisse sind in der Förderakte kein Makel. Sie zeigen, dass das Team nicht bloß eine bekannte Lösung umgesetzt hat, sondern technische Unsicherheit systematisch bearbeitet. Die Labornotizen sind deshalb nicht zu glätten, sondern einzuordnen.</w:t>
      </w:r>
    </w:p>
    <w:p>
      <w:pPr>
        <w:pStyle w:val="Heading2"/>
      </w:pPr>
      <w:r>
        <w:rPr>
          <w:rFonts w:ascii="Times New Roman" w:hAnsi="Times New Roman"/>
        </w:rPr>
        <w:t>Auszug Messreihe K-12 bis K-18</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Datum</w:t>
            </w:r>
          </w:p>
        </w:tc>
        <w:tc>
          <w:tcPr>
            <w:tcW w:type="dxa" w:w="1814"/>
          </w:tcPr>
          <w:p>
            <w:r>
              <w:rPr>
                <w:rFonts w:ascii="Times New Roman" w:hAnsi="Times New Roman"/>
                <w:b/>
                <w:sz w:val="20"/>
              </w:rPr>
              <w:t>Messreihe</w:t>
            </w:r>
          </w:p>
        </w:tc>
        <w:tc>
          <w:tcPr>
            <w:tcW w:type="dxa" w:w="1814"/>
          </w:tcPr>
          <w:p>
            <w:r>
              <w:rPr>
                <w:rFonts w:ascii="Times New Roman" w:hAnsi="Times New Roman"/>
                <w:b/>
                <w:sz w:val="20"/>
              </w:rPr>
              <w:t>Beobachtung</w:t>
            </w:r>
          </w:p>
        </w:tc>
        <w:tc>
          <w:tcPr>
            <w:tcW w:type="dxa" w:w="1814"/>
          </w:tcPr>
          <w:p>
            <w:r>
              <w:rPr>
                <w:rFonts w:ascii="Times New Roman" w:hAnsi="Times New Roman"/>
                <w:b/>
                <w:sz w:val="20"/>
              </w:rPr>
              <w:t>Entscheidung</w:t>
            </w:r>
          </w:p>
        </w:tc>
        <w:tc>
          <w:tcPr>
            <w:tcW w:type="dxa" w:w="1814"/>
          </w:tcPr>
          <w:p>
            <w:r>
              <w:rPr>
                <w:rFonts w:ascii="Times New Roman" w:hAnsi="Times New Roman"/>
                <w:b/>
                <w:sz w:val="20"/>
              </w:rPr>
              <w:t>Förderrelevanz</w:t>
            </w:r>
          </w:p>
        </w:tc>
      </w:tr>
      <w:tr>
        <w:tc>
          <w:tcPr>
            <w:tcW w:type="dxa" w:w="1814"/>
          </w:tcPr>
          <w:p>
            <w:r>
              <w:rPr>
                <w:rFonts w:ascii="Times New Roman" w:hAnsi="Times New Roman"/>
                <w:sz w:val="20"/>
              </w:rPr>
              <w:t>12.02.2025</w:t>
            </w:r>
          </w:p>
        </w:tc>
        <w:tc>
          <w:tcPr>
            <w:tcW w:type="dxa" w:w="1814"/>
          </w:tcPr>
          <w:p>
            <w:r>
              <w:rPr>
                <w:rFonts w:ascii="Times New Roman" w:hAnsi="Times New Roman"/>
                <w:sz w:val="20"/>
              </w:rPr>
              <w:t>K-12</w:t>
            </w:r>
          </w:p>
        </w:tc>
        <w:tc>
          <w:tcPr>
            <w:tcW w:type="dxa" w:w="1814"/>
          </w:tcPr>
          <w:p>
            <w:r>
              <w:rPr>
                <w:rFonts w:ascii="Times New Roman" w:hAnsi="Times New Roman"/>
                <w:sz w:val="20"/>
              </w:rPr>
              <w:t>Condensate-Delta v2 erkennt Feuchtewechsel, aber 11 Prozent Fehlalarme</w:t>
            </w:r>
          </w:p>
        </w:tc>
        <w:tc>
          <w:tcPr>
            <w:tcW w:type="dxa" w:w="1814"/>
          </w:tcPr>
          <w:p>
            <w:r>
              <w:rPr>
                <w:rFonts w:ascii="Times New Roman" w:hAnsi="Times New Roman"/>
                <w:sz w:val="20"/>
              </w:rPr>
              <w:t>Variante verworfen</w:t>
            </w:r>
          </w:p>
        </w:tc>
        <w:tc>
          <w:tcPr>
            <w:tcW w:type="dxa" w:w="1814"/>
          </w:tcPr>
          <w:p>
            <w:r>
              <w:rPr>
                <w:rFonts w:ascii="Times New Roman" w:hAnsi="Times New Roman"/>
                <w:sz w:val="20"/>
              </w:rPr>
              <w:t>stark, weil Fehlschlag technisch begründet</w:t>
            </w:r>
          </w:p>
        </w:tc>
      </w:tr>
      <w:tr>
        <w:tc>
          <w:tcPr>
            <w:tcW w:type="dxa" w:w="1814"/>
          </w:tcPr>
          <w:p>
            <w:r>
              <w:rPr>
                <w:rFonts w:ascii="Times New Roman" w:hAnsi="Times New Roman"/>
                <w:sz w:val="20"/>
              </w:rPr>
              <w:t>18.02.2025</w:t>
            </w:r>
          </w:p>
        </w:tc>
        <w:tc>
          <w:tcPr>
            <w:tcW w:type="dxa" w:w="1814"/>
          </w:tcPr>
          <w:p>
            <w:r>
              <w:rPr>
                <w:rFonts w:ascii="Times New Roman" w:hAnsi="Times New Roman"/>
                <w:sz w:val="20"/>
              </w:rPr>
              <w:t>K-13</w:t>
            </w:r>
          </w:p>
        </w:tc>
        <w:tc>
          <w:tcPr>
            <w:tcW w:type="dxa" w:w="1814"/>
          </w:tcPr>
          <w:p>
            <w:r>
              <w:rPr>
                <w:rFonts w:ascii="Times New Roman" w:hAnsi="Times New Roman"/>
                <w:sz w:val="20"/>
              </w:rPr>
              <w:t>Vibration B erzeugt Scheinspitzen im Temperaturgradienten</w:t>
            </w:r>
          </w:p>
        </w:tc>
        <w:tc>
          <w:tcPr>
            <w:tcW w:type="dxa" w:w="1814"/>
          </w:tcPr>
          <w:p>
            <w:r>
              <w:rPr>
                <w:rFonts w:ascii="Times New Roman" w:hAnsi="Times New Roman"/>
                <w:sz w:val="20"/>
              </w:rPr>
              <w:t>zusätzlicher Vibrationsfilter</w:t>
            </w:r>
          </w:p>
        </w:tc>
        <w:tc>
          <w:tcPr>
            <w:tcW w:type="dxa" w:w="1814"/>
          </w:tcPr>
          <w:p>
            <w:r>
              <w:rPr>
                <w:rFonts w:ascii="Times New Roman" w:hAnsi="Times New Roman"/>
                <w:sz w:val="20"/>
              </w:rPr>
              <w:t>stark, wenn Filter nicht Standardroutine bleibt</w:t>
            </w:r>
          </w:p>
        </w:tc>
      </w:tr>
      <w:tr>
        <w:tc>
          <w:tcPr>
            <w:tcW w:type="dxa" w:w="1814"/>
          </w:tcPr>
          <w:p>
            <w:r>
              <w:rPr>
                <w:rFonts w:ascii="Times New Roman" w:hAnsi="Times New Roman"/>
                <w:sz w:val="20"/>
              </w:rPr>
              <w:t>03.03.2025</w:t>
            </w:r>
          </w:p>
        </w:tc>
        <w:tc>
          <w:tcPr>
            <w:tcW w:type="dxa" w:w="1814"/>
          </w:tcPr>
          <w:p>
            <w:r>
              <w:rPr>
                <w:rFonts w:ascii="Times New Roman" w:hAnsi="Times New Roman"/>
                <w:sz w:val="20"/>
              </w:rPr>
              <w:t>K-14</w:t>
            </w:r>
          </w:p>
        </w:tc>
        <w:tc>
          <w:tcPr>
            <w:tcW w:type="dxa" w:w="1814"/>
          </w:tcPr>
          <w:p>
            <w:r>
              <w:rPr>
                <w:rFonts w:ascii="Times New Roman" w:hAnsi="Times New Roman"/>
                <w:sz w:val="20"/>
              </w:rPr>
              <w:t>Transfer Linie A zu Linie B scheitert bei niedriger Luftströmung</w:t>
            </w:r>
          </w:p>
        </w:tc>
        <w:tc>
          <w:tcPr>
            <w:tcW w:type="dxa" w:w="1814"/>
          </w:tcPr>
          <w:p>
            <w:r>
              <w:rPr>
                <w:rFonts w:ascii="Times New Roman" w:hAnsi="Times New Roman"/>
                <w:sz w:val="20"/>
              </w:rPr>
              <w:t>Parameterfenster neu definieren</w:t>
            </w:r>
          </w:p>
        </w:tc>
        <w:tc>
          <w:tcPr>
            <w:tcW w:type="dxa" w:w="1814"/>
          </w:tcPr>
          <w:p>
            <w:r>
              <w:rPr>
                <w:rFonts w:ascii="Times New Roman" w:hAnsi="Times New Roman"/>
                <w:sz w:val="20"/>
              </w:rPr>
              <w:t>stark, Übertragbarkeitsrisiko</w:t>
            </w:r>
          </w:p>
        </w:tc>
      </w:tr>
      <w:tr>
        <w:tc>
          <w:tcPr>
            <w:tcW w:type="dxa" w:w="1814"/>
          </w:tcPr>
          <w:p>
            <w:r>
              <w:rPr>
                <w:rFonts w:ascii="Times New Roman" w:hAnsi="Times New Roman"/>
                <w:sz w:val="20"/>
              </w:rPr>
              <w:t>19.03.2025</w:t>
            </w:r>
          </w:p>
        </w:tc>
        <w:tc>
          <w:tcPr>
            <w:tcW w:type="dxa" w:w="1814"/>
          </w:tcPr>
          <w:p>
            <w:r>
              <w:rPr>
                <w:rFonts w:ascii="Times New Roman" w:hAnsi="Times New Roman"/>
                <w:sz w:val="20"/>
              </w:rPr>
              <w:t>K-16</w:t>
            </w:r>
          </w:p>
        </w:tc>
        <w:tc>
          <w:tcPr>
            <w:tcW w:type="dxa" w:w="1814"/>
          </w:tcPr>
          <w:p>
            <w:r>
              <w:rPr>
                <w:rFonts w:ascii="Times New Roman" w:hAnsi="Times New Roman"/>
                <w:sz w:val="20"/>
              </w:rPr>
              <w:t>Edge-Speicher reicht nicht für vollen Modellzustand</w:t>
            </w:r>
          </w:p>
        </w:tc>
        <w:tc>
          <w:tcPr>
            <w:tcW w:type="dxa" w:w="1814"/>
          </w:tcPr>
          <w:p>
            <w:r>
              <w:rPr>
                <w:rFonts w:ascii="Times New Roman" w:hAnsi="Times New Roman"/>
                <w:sz w:val="20"/>
              </w:rPr>
              <w:t>Modellreduktion</w:t>
            </w:r>
          </w:p>
        </w:tc>
        <w:tc>
          <w:tcPr>
            <w:tcW w:type="dxa" w:w="1814"/>
          </w:tcPr>
          <w:p>
            <w:r>
              <w:rPr>
                <w:rFonts w:ascii="Times New Roman" w:hAnsi="Times New Roman"/>
                <w:sz w:val="20"/>
              </w:rPr>
              <w:t>stark, Hardwaregrenze</w:t>
            </w:r>
          </w:p>
        </w:tc>
      </w:tr>
      <w:tr>
        <w:tc>
          <w:tcPr>
            <w:tcW w:type="dxa" w:w="1814"/>
          </w:tcPr>
          <w:p>
            <w:r>
              <w:rPr>
                <w:rFonts w:ascii="Times New Roman" w:hAnsi="Times New Roman"/>
                <w:sz w:val="20"/>
              </w:rPr>
              <w:t>08.04.2025</w:t>
            </w:r>
          </w:p>
        </w:tc>
        <w:tc>
          <w:tcPr>
            <w:tcW w:type="dxa" w:w="1814"/>
          </w:tcPr>
          <w:p>
            <w:r>
              <w:rPr>
                <w:rFonts w:ascii="Times New Roman" w:hAnsi="Times New Roman"/>
                <w:sz w:val="20"/>
              </w:rPr>
              <w:t>K-18</w:t>
            </w:r>
          </w:p>
        </w:tc>
        <w:tc>
          <w:tcPr>
            <w:tcW w:type="dxa" w:w="1814"/>
          </w:tcPr>
          <w:p>
            <w:r>
              <w:rPr>
                <w:rFonts w:ascii="Times New Roman" w:hAnsi="Times New Roman"/>
                <w:sz w:val="20"/>
              </w:rPr>
              <w:t>Referenzsensor driftet selbst bei Kondensatfilm</w:t>
            </w:r>
          </w:p>
        </w:tc>
        <w:tc>
          <w:tcPr>
            <w:tcW w:type="dxa" w:w="1814"/>
          </w:tcPr>
          <w:p>
            <w:r>
              <w:rPr>
                <w:rFonts w:ascii="Times New Roman" w:hAnsi="Times New Roman"/>
                <w:sz w:val="20"/>
              </w:rPr>
              <w:t>Plausibilitätsprüfung erforderlich</w:t>
            </w:r>
          </w:p>
        </w:tc>
        <w:tc>
          <w:tcPr>
            <w:tcW w:type="dxa" w:w="1814"/>
          </w:tcPr>
          <w:p>
            <w:r>
              <w:rPr>
                <w:rFonts w:ascii="Times New Roman" w:hAnsi="Times New Roman"/>
                <w:sz w:val="20"/>
              </w:rPr>
              <w:t>stark, Selbstdiagnosebedarf</w:t>
            </w:r>
          </w:p>
        </w:tc>
      </w:tr>
    </w:tbl>
    <w:p>
      <w:pPr>
        <w:pStyle w:val="Heading2"/>
      </w:pPr>
      <w:r>
        <w:rPr>
          <w:rFonts w:ascii="Times New Roman" w:hAnsi="Times New Roman"/>
        </w:rPr>
        <w:t>Formulierungsnutzen</w:t>
      </w:r>
    </w:p>
    <w:p>
      <w:pPr>
        <w:jc w:val="left"/>
      </w:pPr>
      <w:r>
        <w:t>Die BSFZ-Antwort kann diese Notizen als Evidenz verwenden: Der Projektfortschritt war nicht linear. Das Team musste technische Annahmen ändern, Modelle verwerfen und Versuchsparameter neu aufsetzen. Das spricht gegen bloße Routineentwicklung.</w:t>
      </w:r>
    </w:p>
    <w:p>
      <w:pPr>
        <w:pStyle w:val="Heading2"/>
      </w:pPr>
      <w:r>
        <w:rPr>
          <w:rFonts w:ascii="Times New Roman" w:hAnsi="Times New Roman"/>
        </w:rPr>
        <w:t>Nicht überziehen</w:t>
      </w:r>
    </w:p>
    <w:p>
      <w:pPr>
        <w:jc w:val="left"/>
      </w:pPr>
      <w:r>
        <w:t>Nicht jeder Fehlschlag ist Forschung. Wenn ein Fehler aus schlechter Dokumentation, Lieferverzug oder normalem Debugging stammt, ist er kein tragendes FuE-Argument. Die Akte braucht eine kühle Auswahl.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