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Ticket und Git Review Auszüge</w:t>
      </w:r>
    </w:p>
    <w:p>
      <w:pPr>
        <w:pStyle w:val="Heading2"/>
      </w:pPr>
      <w:r>
        <w:rPr>
          <w:rFonts w:ascii="Times New Roman" w:hAnsi="Times New Roman"/>
        </w:rPr>
        <w:t>Ticketbild</w:t>
      </w:r>
    </w:p>
    <w:p>
      <w:pPr>
        <w:jc w:val="left"/>
      </w:pPr>
      <w:r>
        <w:t>Die Entwicklung wird in Jira und GitLab dokumentiert. Die Akte enthält keine vollständigen Repository-Daten, aber Auszüge mit typischen Ticketbeschreibungen. Die Tickets müssen in der Belegmatrix den Stunden zugeordnet werden.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Ticket</w:t>
            </w:r>
          </w:p>
        </w:tc>
        <w:tc>
          <w:tcPr>
            <w:tcW w:type="dxa" w:w="2268"/>
          </w:tcPr>
          <w:p>
            <w:r>
              <w:rPr>
                <w:rFonts w:ascii="Times New Roman" w:hAnsi="Times New Roman"/>
                <w:b/>
                <w:sz w:val="20"/>
              </w:rPr>
              <w:t>Titel</w:t>
            </w:r>
          </w:p>
        </w:tc>
        <w:tc>
          <w:tcPr>
            <w:tcW w:type="dxa" w:w="2268"/>
          </w:tcPr>
          <w:p>
            <w:r>
              <w:rPr>
                <w:rFonts w:ascii="Times New Roman" w:hAnsi="Times New Roman"/>
                <w:b/>
                <w:sz w:val="20"/>
              </w:rPr>
              <w:t>Kommentar</w:t>
            </w:r>
          </w:p>
        </w:tc>
        <w:tc>
          <w:tcPr>
            <w:tcW w:type="dxa" w:w="2268"/>
          </w:tcPr>
          <w:p>
            <w:r>
              <w:rPr>
                <w:rFonts w:ascii="Times New Roman" w:hAnsi="Times New Roman"/>
                <w:b/>
                <w:sz w:val="20"/>
              </w:rPr>
              <w:t>FuE-Bewertung</w:t>
            </w:r>
          </w:p>
        </w:tc>
      </w:tr>
      <w:tr>
        <w:tc>
          <w:tcPr>
            <w:tcW w:type="dxa" w:w="2268"/>
          </w:tcPr>
          <w:p>
            <w:r>
              <w:rPr>
                <w:rFonts w:ascii="Times New Roman" w:hAnsi="Times New Roman"/>
                <w:sz w:val="20"/>
              </w:rPr>
              <w:t>AE-214</w:t>
            </w:r>
          </w:p>
        </w:tc>
        <w:tc>
          <w:tcPr>
            <w:tcW w:type="dxa" w:w="2268"/>
          </w:tcPr>
          <w:p>
            <w:r>
              <w:rPr>
                <w:rFonts w:ascii="Times New Roman" w:hAnsi="Times New Roman"/>
                <w:sz w:val="20"/>
              </w:rPr>
              <w:t>Condensate state vector v2</w:t>
            </w:r>
          </w:p>
        </w:tc>
        <w:tc>
          <w:tcPr>
            <w:tcW w:type="dxa" w:w="2268"/>
          </w:tcPr>
          <w:p>
            <w:r>
              <w:rPr>
                <w:rFonts w:ascii="Times New Roman" w:hAnsi="Times New Roman"/>
                <w:sz w:val="20"/>
              </w:rPr>
              <w:t>mathematische Modellvariante, später verworfen</w:t>
            </w:r>
          </w:p>
        </w:tc>
        <w:tc>
          <w:tcPr>
            <w:tcW w:type="dxa" w:w="2268"/>
          </w:tcPr>
          <w:p>
            <w:r>
              <w:rPr>
                <w:rFonts w:ascii="Times New Roman" w:hAnsi="Times New Roman"/>
                <w:sz w:val="20"/>
              </w:rPr>
              <w:t>förderstark</w:t>
            </w:r>
          </w:p>
        </w:tc>
      </w:tr>
      <w:tr>
        <w:tc>
          <w:tcPr>
            <w:tcW w:type="dxa" w:w="2268"/>
          </w:tcPr>
          <w:p>
            <w:r>
              <w:rPr>
                <w:rFonts w:ascii="Times New Roman" w:hAnsi="Times New Roman"/>
                <w:sz w:val="20"/>
              </w:rPr>
              <w:t>AE-239</w:t>
            </w:r>
          </w:p>
        </w:tc>
        <w:tc>
          <w:tcPr>
            <w:tcW w:type="dxa" w:w="2268"/>
          </w:tcPr>
          <w:p>
            <w:r>
              <w:rPr>
                <w:rFonts w:ascii="Times New Roman" w:hAnsi="Times New Roman"/>
                <w:sz w:val="20"/>
              </w:rPr>
              <w:t>UI trend color palette</w:t>
            </w:r>
          </w:p>
        </w:tc>
        <w:tc>
          <w:tcPr>
            <w:tcW w:type="dxa" w:w="2268"/>
          </w:tcPr>
          <w:p>
            <w:r>
              <w:rPr>
                <w:rFonts w:ascii="Times New Roman" w:hAnsi="Times New Roman"/>
                <w:sz w:val="20"/>
              </w:rPr>
              <w:t>reine Anzeige und Usability</w:t>
            </w:r>
          </w:p>
        </w:tc>
        <w:tc>
          <w:tcPr>
            <w:tcW w:type="dxa" w:w="2268"/>
          </w:tcPr>
          <w:p>
            <w:r>
              <w:rPr>
                <w:rFonts w:ascii="Times New Roman" w:hAnsi="Times New Roman"/>
                <w:sz w:val="20"/>
              </w:rPr>
              <w:t>nicht fördern</w:t>
            </w:r>
          </w:p>
        </w:tc>
      </w:tr>
      <w:tr>
        <w:tc>
          <w:tcPr>
            <w:tcW w:type="dxa" w:w="2268"/>
          </w:tcPr>
          <w:p>
            <w:r>
              <w:rPr>
                <w:rFonts w:ascii="Times New Roman" w:hAnsi="Times New Roman"/>
                <w:sz w:val="20"/>
              </w:rPr>
              <w:t>AE-251</w:t>
            </w:r>
          </w:p>
        </w:tc>
        <w:tc>
          <w:tcPr>
            <w:tcW w:type="dxa" w:w="2268"/>
          </w:tcPr>
          <w:p>
            <w:r>
              <w:rPr>
                <w:rFonts w:ascii="Times New Roman" w:hAnsi="Times New Roman"/>
                <w:sz w:val="20"/>
              </w:rPr>
              <w:t>Edge memory compression</w:t>
            </w:r>
          </w:p>
        </w:tc>
        <w:tc>
          <w:tcPr>
            <w:tcW w:type="dxa" w:w="2268"/>
          </w:tcPr>
          <w:p>
            <w:r>
              <w:rPr>
                <w:rFonts w:ascii="Times New Roman" w:hAnsi="Times New Roman"/>
                <w:sz w:val="20"/>
              </w:rPr>
              <w:t>technische Modellreduktion</w:t>
            </w:r>
          </w:p>
        </w:tc>
        <w:tc>
          <w:tcPr>
            <w:tcW w:type="dxa" w:w="2268"/>
          </w:tcPr>
          <w:p>
            <w:r>
              <w:rPr>
                <w:rFonts w:ascii="Times New Roman" w:hAnsi="Times New Roman"/>
                <w:sz w:val="20"/>
              </w:rPr>
              <w:t>förderstark</w:t>
            </w:r>
          </w:p>
        </w:tc>
      </w:tr>
      <w:tr>
        <w:tc>
          <w:tcPr>
            <w:tcW w:type="dxa" w:w="2268"/>
          </w:tcPr>
          <w:p>
            <w:r>
              <w:rPr>
                <w:rFonts w:ascii="Times New Roman" w:hAnsi="Times New Roman"/>
                <w:sz w:val="20"/>
              </w:rPr>
              <w:t>AE-268</w:t>
            </w:r>
          </w:p>
        </w:tc>
        <w:tc>
          <w:tcPr>
            <w:tcW w:type="dxa" w:w="2268"/>
          </w:tcPr>
          <w:p>
            <w:r>
              <w:rPr>
                <w:rFonts w:ascii="Times New Roman" w:hAnsi="Times New Roman"/>
                <w:sz w:val="20"/>
              </w:rPr>
              <w:t>Customer demo package</w:t>
            </w:r>
          </w:p>
        </w:tc>
        <w:tc>
          <w:tcPr>
            <w:tcW w:type="dxa" w:w="2268"/>
          </w:tcPr>
          <w:p>
            <w:r>
              <w:rPr>
                <w:rFonts w:ascii="Times New Roman" w:hAnsi="Times New Roman"/>
                <w:sz w:val="20"/>
              </w:rPr>
              <w:t>Vertrieb/Marketing</w:t>
            </w:r>
          </w:p>
        </w:tc>
        <w:tc>
          <w:tcPr>
            <w:tcW w:type="dxa" w:w="2268"/>
          </w:tcPr>
          <w:p>
            <w:r>
              <w:rPr>
                <w:rFonts w:ascii="Times New Roman" w:hAnsi="Times New Roman"/>
                <w:sz w:val="20"/>
              </w:rPr>
              <w:t>nicht fördern</w:t>
            </w:r>
          </w:p>
        </w:tc>
      </w:tr>
      <w:tr>
        <w:tc>
          <w:tcPr>
            <w:tcW w:type="dxa" w:w="2268"/>
          </w:tcPr>
          <w:p>
            <w:r>
              <w:rPr>
                <w:rFonts w:ascii="Times New Roman" w:hAnsi="Times New Roman"/>
                <w:sz w:val="20"/>
              </w:rPr>
              <w:t>AE-277</w:t>
            </w:r>
          </w:p>
        </w:tc>
        <w:tc>
          <w:tcPr>
            <w:tcW w:type="dxa" w:w="2268"/>
          </w:tcPr>
          <w:p>
            <w:r>
              <w:rPr>
                <w:rFonts w:ascii="Times New Roman" w:hAnsi="Times New Roman"/>
                <w:sz w:val="20"/>
              </w:rPr>
              <w:t>Vibration artefact split</w:t>
            </w:r>
          </w:p>
        </w:tc>
        <w:tc>
          <w:tcPr>
            <w:tcW w:type="dxa" w:w="2268"/>
          </w:tcPr>
          <w:p>
            <w:r>
              <w:rPr>
                <w:rFonts w:ascii="Times New Roman" w:hAnsi="Times New Roman"/>
                <w:sz w:val="20"/>
              </w:rPr>
              <w:t>Trennung Messfehler/Prozessänderung</w:t>
            </w:r>
          </w:p>
        </w:tc>
        <w:tc>
          <w:tcPr>
            <w:tcW w:type="dxa" w:w="2268"/>
          </w:tcPr>
          <w:p>
            <w:r>
              <w:rPr>
                <w:rFonts w:ascii="Times New Roman" w:hAnsi="Times New Roman"/>
                <w:sz w:val="20"/>
              </w:rPr>
              <w:t>förderstark</w:t>
            </w:r>
          </w:p>
        </w:tc>
      </w:tr>
      <w:tr>
        <w:tc>
          <w:tcPr>
            <w:tcW w:type="dxa" w:w="2268"/>
          </w:tcPr>
          <w:p>
            <w:r>
              <w:rPr>
                <w:rFonts w:ascii="Times New Roman" w:hAnsi="Times New Roman"/>
                <w:sz w:val="20"/>
              </w:rPr>
              <w:t>AE-301</w:t>
            </w:r>
          </w:p>
        </w:tc>
        <w:tc>
          <w:tcPr>
            <w:tcW w:type="dxa" w:w="2268"/>
          </w:tcPr>
          <w:p>
            <w:r>
              <w:rPr>
                <w:rFonts w:ascii="Times New Roman" w:hAnsi="Times New Roman"/>
                <w:sz w:val="20"/>
              </w:rPr>
              <w:t>Lissabon raw data parser</w:t>
            </w:r>
          </w:p>
        </w:tc>
        <w:tc>
          <w:tcPr>
            <w:tcW w:type="dxa" w:w="2268"/>
          </w:tcPr>
          <w:p>
            <w:r>
              <w:rPr>
                <w:rFonts w:ascii="Times New Roman" w:hAnsi="Times New Roman"/>
                <w:sz w:val="20"/>
              </w:rPr>
              <w:t>Datenaufbereitung für Messreihen</w:t>
            </w:r>
          </w:p>
        </w:tc>
        <w:tc>
          <w:tcPr>
            <w:tcW w:type="dxa" w:w="2268"/>
          </w:tcPr>
          <w:p>
            <w:r>
              <w:rPr>
                <w:rFonts w:ascii="Times New Roman" w:hAnsi="Times New Roman"/>
                <w:sz w:val="20"/>
              </w:rPr>
              <w:t>teilweise, wenn unmittelbar FuE</w:t>
            </w:r>
          </w:p>
        </w:tc>
      </w:tr>
      <w:tr>
        <w:tc>
          <w:tcPr>
            <w:tcW w:type="dxa" w:w="2268"/>
          </w:tcPr>
          <w:p>
            <w:r>
              <w:rPr>
                <w:rFonts w:ascii="Times New Roman" w:hAnsi="Times New Roman"/>
                <w:sz w:val="20"/>
              </w:rPr>
              <w:t>AE-319</w:t>
            </w:r>
          </w:p>
        </w:tc>
        <w:tc>
          <w:tcPr>
            <w:tcW w:type="dxa" w:w="2268"/>
          </w:tcPr>
          <w:p>
            <w:r>
              <w:rPr>
                <w:rFonts w:ascii="Times New Roman" w:hAnsi="Times New Roman"/>
                <w:sz w:val="20"/>
              </w:rPr>
              <w:t>Launch readiness dashboard</w:t>
            </w:r>
          </w:p>
        </w:tc>
        <w:tc>
          <w:tcPr>
            <w:tcW w:type="dxa" w:w="2268"/>
          </w:tcPr>
          <w:p>
            <w:r>
              <w:rPr>
                <w:rFonts w:ascii="Times New Roman" w:hAnsi="Times New Roman"/>
                <w:sz w:val="20"/>
              </w:rPr>
              <w:t>Produktisierung</w:t>
            </w:r>
          </w:p>
        </w:tc>
        <w:tc>
          <w:tcPr>
            <w:tcW w:type="dxa" w:w="2268"/>
          </w:tcPr>
          <w:p>
            <w:r>
              <w:rPr>
                <w:rFonts w:ascii="Times New Roman" w:hAnsi="Times New Roman"/>
                <w:sz w:val="20"/>
              </w:rPr>
              <w:t>streichen</w:t>
            </w:r>
          </w:p>
        </w:tc>
      </w:tr>
    </w:tbl>
    <w:p>
      <w:pPr>
        <w:pStyle w:val="Heading2"/>
      </w:pPr>
      <w:r>
        <w:rPr>
          <w:rFonts w:ascii="Times New Roman" w:hAnsi="Times New Roman"/>
        </w:rPr>
        <w:t>Git-Review-Notiz</w:t>
      </w:r>
    </w:p>
    <w:p>
      <w:pPr>
        <w:jc w:val="left"/>
      </w:pPr>
      <w:r>
        <w:t>Code-Review vom 17.03.2025 zeigt, dass die Modellreduktion nicht nur eine Performanceoptimierung war. Das Team musste entscheiden, welche Zustandsvariablen technisch unverzichtbar sind. Diese Entscheidung berührt die Reproduzierbarkeit und Fehlalarmquote. Der Review kann daher AP3 stützen.</w:t>
      </w:r>
    </w:p>
    <w:p>
      <w:pPr>
        <w:pStyle w:val="Heading2"/>
      </w:pPr>
      <w:r>
        <w:rPr>
          <w:rFonts w:ascii="Times New Roman" w:hAnsi="Times New Roman"/>
        </w:rPr>
        <w:t>Schwacher Beleg</w:t>
      </w:r>
    </w:p>
    <w:p>
      <w:pPr>
        <w:jc w:val="left"/>
      </w:pPr>
      <w:r>
        <w:t>Mehrere Tickets haben nur Titel wie "Research Sprint" oder "AeroSense Improvements". Diese sollten nicht als Beleg verwendet werden, bevor sie nicht mit konkreten technischen Tätigkeiten verknüpft sind.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