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Lohnkonto und Personalakte Prüfnotiz</w:t>
      </w:r>
    </w:p>
    <w:p>
      <w:pPr>
        <w:pStyle w:val="Heading2"/>
      </w:pPr>
      <w:r>
        <w:rPr>
          <w:rFonts w:ascii="Times New Roman" w:hAnsi="Times New Roman"/>
        </w:rPr>
        <w:t>Personalkostenprüfung</w:t>
      </w:r>
    </w:p>
    <w:p>
      <w:pPr>
        <w:jc w:val="left"/>
      </w:pPr>
      <w:r>
        <w:t>Die Lohnkonten liegen nur als Summenauszug vor. Für die steuerliche Festsetzung muss nachvollziehbar sein, welche lohnsteuerpflichtigen Arbeitslöhne und Arbeitgeberanteile den förderfähigen Tätigkeiten zugeordnet werden. Die Personalkosten dürfen nicht nur prozentual aus dem Bauch heraus abgeleitet werden.</w:t>
      </w:r>
    </w:p>
    <w:p>
      <w:pPr>
        <w:pStyle w:val="Heading2"/>
      </w:pPr>
      <w:r>
        <w:rPr>
          <w:rFonts w:ascii="Times New Roman" w:hAnsi="Times New Roman"/>
        </w:rPr>
        <w:t>Prüfpunkte</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Punkt</w:t>
            </w:r>
          </w:p>
        </w:tc>
        <w:tc>
          <w:tcPr>
            <w:tcW w:type="dxa" w:w="2268"/>
          </w:tcPr>
          <w:p>
            <w:r>
              <w:rPr>
                <w:rFonts w:ascii="Times New Roman" w:hAnsi="Times New Roman"/>
                <w:b/>
                <w:sz w:val="20"/>
              </w:rPr>
              <w:t>Fund</w:t>
            </w:r>
          </w:p>
        </w:tc>
        <w:tc>
          <w:tcPr>
            <w:tcW w:type="dxa" w:w="2268"/>
          </w:tcPr>
          <w:p>
            <w:r>
              <w:rPr>
                <w:rFonts w:ascii="Times New Roman" w:hAnsi="Times New Roman"/>
                <w:b/>
                <w:sz w:val="20"/>
              </w:rPr>
              <w:t>Risiko</w:t>
            </w:r>
          </w:p>
        </w:tc>
        <w:tc>
          <w:tcPr>
            <w:tcW w:type="dxa" w:w="2268"/>
          </w:tcPr>
          <w:p>
            <w:r>
              <w:rPr>
                <w:rFonts w:ascii="Times New Roman" w:hAnsi="Times New Roman"/>
                <w:b/>
                <w:sz w:val="20"/>
              </w:rPr>
              <w:t>Maßnahme</w:t>
            </w:r>
          </w:p>
        </w:tc>
      </w:tr>
      <w:tr>
        <w:tc>
          <w:tcPr>
            <w:tcW w:type="dxa" w:w="2268"/>
          </w:tcPr>
          <w:p>
            <w:r>
              <w:rPr>
                <w:rFonts w:ascii="Times New Roman" w:hAnsi="Times New Roman"/>
                <w:sz w:val="20"/>
              </w:rPr>
              <w:t>Urlaub/Krankheit</w:t>
            </w:r>
          </w:p>
        </w:tc>
        <w:tc>
          <w:tcPr>
            <w:tcW w:type="dxa" w:w="2268"/>
          </w:tcPr>
          <w:p>
            <w:r>
              <w:rPr>
                <w:rFonts w:ascii="Times New Roman" w:hAnsi="Times New Roman"/>
                <w:sz w:val="20"/>
              </w:rPr>
              <w:t>Stundenmatrix enthält keine gesonderte Abwesenheitsspalte</w:t>
            </w:r>
          </w:p>
        </w:tc>
        <w:tc>
          <w:tcPr>
            <w:tcW w:type="dxa" w:w="2268"/>
          </w:tcPr>
          <w:p>
            <w:r>
              <w:rPr>
                <w:rFonts w:ascii="Times New Roman" w:hAnsi="Times New Roman"/>
                <w:sz w:val="20"/>
              </w:rPr>
              <w:t>Überansatz</w:t>
            </w:r>
          </w:p>
        </w:tc>
        <w:tc>
          <w:tcPr>
            <w:tcW w:type="dxa" w:w="2268"/>
          </w:tcPr>
          <w:p>
            <w:r>
              <w:rPr>
                <w:rFonts w:ascii="Times New Roman" w:hAnsi="Times New Roman"/>
                <w:sz w:val="20"/>
              </w:rPr>
              <w:t>HR-Abwesenheitsliste abgleichen</w:t>
            </w:r>
          </w:p>
        </w:tc>
      </w:tr>
      <w:tr>
        <w:tc>
          <w:tcPr>
            <w:tcW w:type="dxa" w:w="2268"/>
          </w:tcPr>
          <w:p>
            <w:r>
              <w:rPr>
                <w:rFonts w:ascii="Times New Roman" w:hAnsi="Times New Roman"/>
                <w:sz w:val="20"/>
              </w:rPr>
              <w:t>Bonus CTO</w:t>
            </w:r>
          </w:p>
        </w:tc>
        <w:tc>
          <w:tcPr>
            <w:tcW w:type="dxa" w:w="2268"/>
          </w:tcPr>
          <w:p>
            <w:r>
              <w:rPr>
                <w:rFonts w:ascii="Times New Roman" w:hAnsi="Times New Roman"/>
                <w:sz w:val="20"/>
              </w:rPr>
              <w:t>Bonusziel Launch Readiness</w:t>
            </w:r>
          </w:p>
        </w:tc>
        <w:tc>
          <w:tcPr>
            <w:tcW w:type="dxa" w:w="2268"/>
          </w:tcPr>
          <w:p>
            <w:r>
              <w:rPr>
                <w:rFonts w:ascii="Times New Roman" w:hAnsi="Times New Roman"/>
                <w:sz w:val="20"/>
              </w:rPr>
              <w:t>nicht FuE</w:t>
            </w:r>
          </w:p>
        </w:tc>
        <w:tc>
          <w:tcPr>
            <w:tcW w:type="dxa" w:w="2268"/>
          </w:tcPr>
          <w:p>
            <w:r>
              <w:rPr>
                <w:rFonts w:ascii="Times New Roman" w:hAnsi="Times New Roman"/>
                <w:sz w:val="20"/>
              </w:rPr>
              <w:t>herausrechnen oder begründen</w:t>
            </w:r>
          </w:p>
        </w:tc>
      </w:tr>
      <w:tr>
        <w:tc>
          <w:tcPr>
            <w:tcW w:type="dxa" w:w="2268"/>
          </w:tcPr>
          <w:p>
            <w:r>
              <w:rPr>
                <w:rFonts w:ascii="Times New Roman" w:hAnsi="Times New Roman"/>
                <w:sz w:val="20"/>
              </w:rPr>
              <w:t>Werkstudentin</w:t>
            </w:r>
          </w:p>
        </w:tc>
        <w:tc>
          <w:tcPr>
            <w:tcW w:type="dxa" w:w="2268"/>
          </w:tcPr>
          <w:p>
            <w:r>
              <w:rPr>
                <w:rFonts w:ascii="Times New Roman" w:hAnsi="Times New Roman"/>
                <w:sz w:val="20"/>
              </w:rPr>
              <w:t>Labortätigkeit, aber wechselnder Vertrag</w:t>
            </w:r>
          </w:p>
        </w:tc>
        <w:tc>
          <w:tcPr>
            <w:tcW w:type="dxa" w:w="2268"/>
          </w:tcPr>
          <w:p>
            <w:r>
              <w:rPr>
                <w:rFonts w:ascii="Times New Roman" w:hAnsi="Times New Roman"/>
                <w:sz w:val="20"/>
              </w:rPr>
              <w:t>Lohnstatus</w:t>
            </w:r>
          </w:p>
        </w:tc>
        <w:tc>
          <w:tcPr>
            <w:tcW w:type="dxa" w:w="2268"/>
          </w:tcPr>
          <w:p>
            <w:r>
              <w:rPr>
                <w:rFonts w:ascii="Times New Roman" w:hAnsi="Times New Roman"/>
                <w:sz w:val="20"/>
              </w:rPr>
              <w:t>Vertrags- und Lohnsteuerprüfung</w:t>
            </w:r>
          </w:p>
        </w:tc>
      </w:tr>
      <w:tr>
        <w:tc>
          <w:tcPr>
            <w:tcW w:type="dxa" w:w="2268"/>
          </w:tcPr>
          <w:p>
            <w:r>
              <w:rPr>
                <w:rFonts w:ascii="Times New Roman" w:hAnsi="Times New Roman"/>
                <w:sz w:val="20"/>
              </w:rPr>
              <w:t>Leihingenieur</w:t>
            </w:r>
          </w:p>
        </w:tc>
        <w:tc>
          <w:tcPr>
            <w:tcW w:type="dxa" w:w="2268"/>
          </w:tcPr>
          <w:p>
            <w:r>
              <w:rPr>
                <w:rFonts w:ascii="Times New Roman" w:hAnsi="Times New Roman"/>
                <w:sz w:val="20"/>
              </w:rPr>
              <w:t>Agenturrechnung statt Lohn</w:t>
            </w:r>
          </w:p>
        </w:tc>
        <w:tc>
          <w:tcPr>
            <w:tcW w:type="dxa" w:w="2268"/>
          </w:tcPr>
          <w:p>
            <w:r>
              <w:rPr>
                <w:rFonts w:ascii="Times New Roman" w:hAnsi="Times New Roman"/>
                <w:sz w:val="20"/>
              </w:rPr>
              <w:t>falsche Kostenart</w:t>
            </w:r>
          </w:p>
        </w:tc>
        <w:tc>
          <w:tcPr>
            <w:tcW w:type="dxa" w:w="2268"/>
          </w:tcPr>
          <w:p>
            <w:r>
              <w:rPr>
                <w:rFonts w:ascii="Times New Roman" w:hAnsi="Times New Roman"/>
                <w:sz w:val="20"/>
              </w:rPr>
              <w:t>gesondert prüfen, ggf. nicht Personalkosten</w:t>
            </w:r>
          </w:p>
        </w:tc>
      </w:tr>
      <w:tr>
        <w:tc>
          <w:tcPr>
            <w:tcW w:type="dxa" w:w="2268"/>
          </w:tcPr>
          <w:p>
            <w:r>
              <w:rPr>
                <w:rFonts w:ascii="Times New Roman" w:hAnsi="Times New Roman"/>
                <w:sz w:val="20"/>
              </w:rPr>
              <w:t>Arbeitgeberanteile</w:t>
            </w:r>
          </w:p>
        </w:tc>
        <w:tc>
          <w:tcPr>
            <w:tcW w:type="dxa" w:w="2268"/>
          </w:tcPr>
          <w:p>
            <w:r>
              <w:rPr>
                <w:rFonts w:ascii="Times New Roman" w:hAnsi="Times New Roman"/>
                <w:sz w:val="20"/>
              </w:rPr>
              <w:t>Controlling pauschal 21 Prozent</w:t>
            </w:r>
          </w:p>
        </w:tc>
        <w:tc>
          <w:tcPr>
            <w:tcW w:type="dxa" w:w="2268"/>
          </w:tcPr>
          <w:p>
            <w:r>
              <w:rPr>
                <w:rFonts w:ascii="Times New Roman" w:hAnsi="Times New Roman"/>
                <w:sz w:val="20"/>
              </w:rPr>
              <w:t>Plausibilität</w:t>
            </w:r>
          </w:p>
        </w:tc>
        <w:tc>
          <w:tcPr>
            <w:tcW w:type="dxa" w:w="2268"/>
          </w:tcPr>
          <w:p>
            <w:r>
              <w:rPr>
                <w:rFonts w:ascii="Times New Roman" w:hAnsi="Times New Roman"/>
                <w:sz w:val="20"/>
              </w:rPr>
              <w:t>Lohnjournal heranziehen</w:t>
            </w:r>
          </w:p>
        </w:tc>
      </w:tr>
    </w:tbl>
    <w:p>
      <w:pPr>
        <w:pStyle w:val="Heading2"/>
      </w:pPr>
      <w:r>
        <w:rPr>
          <w:rFonts w:ascii="Times New Roman" w:hAnsi="Times New Roman"/>
        </w:rPr>
        <w:t>Empfehlung</w:t>
      </w:r>
    </w:p>
    <w:p>
      <w:pPr>
        <w:jc w:val="left"/>
      </w:pPr>
      <w:r>
        <w:t>Für 2024 sollte nur der harte Kern beantragt werden. Für 2025/2026 kann nachgebessert werden, aber nur mit HR-Abgleich und Projektbeleg. Das System soll eine Nachforderungsliste erstellen, keine Fantasiestunden generieren.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