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ELSTER Feldmapping und Antragslogik</w:t>
      </w:r>
    </w:p>
    <w:p>
      <w:pPr>
        <w:pStyle w:val="Heading2"/>
      </w:pPr>
      <w:r>
        <w:rPr>
          <w:rFonts w:ascii="Times New Roman" w:hAnsi="Times New Roman"/>
        </w:rPr>
        <w:t>Warum das wichtig ist</w:t>
      </w:r>
    </w:p>
    <w:p>
      <w:pPr>
        <w:jc w:val="left"/>
      </w:pPr>
      <w:r>
        <w:t>Der steuerliche Antrag ist kein Essay. Die gute technische Story muss in die richtigen Formularfelder, Bescheidbezüge und Anlagen übersetzt werden. Ein Fehler in der Reihenfolge kann die Akte unnötig hakelig machen.</w:t>
      </w:r>
    </w:p>
    <w:p>
      <w:pPr>
        <w:pStyle w:val="Heading2"/>
      </w:pPr>
      <w:r>
        <w:rPr>
          <w:rFonts w:ascii="Times New Roman" w:hAnsi="Times New Roman"/>
        </w:rPr>
        <w:t>Mapping Arbeitsstand</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Thema</w:t>
            </w:r>
          </w:p>
        </w:tc>
        <w:tc>
          <w:tcPr>
            <w:tcW w:type="dxa" w:w="2268"/>
          </w:tcPr>
          <w:p>
            <w:r>
              <w:rPr>
                <w:rFonts w:ascii="Times New Roman" w:hAnsi="Times New Roman"/>
                <w:b/>
                <w:sz w:val="20"/>
              </w:rPr>
              <w:t>ELSTER-/Antragslogik</w:t>
            </w:r>
          </w:p>
        </w:tc>
        <w:tc>
          <w:tcPr>
            <w:tcW w:type="dxa" w:w="2268"/>
          </w:tcPr>
          <w:p>
            <w:r>
              <w:rPr>
                <w:rFonts w:ascii="Times New Roman" w:hAnsi="Times New Roman"/>
                <w:b/>
                <w:sz w:val="20"/>
              </w:rPr>
              <w:t>Aktenbeleg</w:t>
            </w:r>
          </w:p>
        </w:tc>
        <w:tc>
          <w:tcPr>
            <w:tcW w:type="dxa" w:w="2268"/>
          </w:tcPr>
          <w:p>
            <w:r>
              <w:rPr>
                <w:rFonts w:ascii="Times New Roman" w:hAnsi="Times New Roman"/>
                <w:b/>
                <w:sz w:val="20"/>
              </w:rPr>
              <w:t>Risiko</w:t>
            </w:r>
          </w:p>
        </w:tc>
      </w:tr>
      <w:tr>
        <w:tc>
          <w:tcPr>
            <w:tcW w:type="dxa" w:w="2268"/>
          </w:tcPr>
          <w:p>
            <w:r>
              <w:rPr>
                <w:rFonts w:ascii="Times New Roman" w:hAnsi="Times New Roman"/>
                <w:sz w:val="20"/>
              </w:rPr>
              <w:t>Anspruchsberechtigter</w:t>
            </w:r>
          </w:p>
        </w:tc>
        <w:tc>
          <w:tcPr>
            <w:tcW w:type="dxa" w:w="2268"/>
          </w:tcPr>
          <w:p>
            <w:r>
              <w:rPr>
                <w:rFonts w:ascii="Times New Roman" w:hAnsi="Times New Roman"/>
                <w:sz w:val="20"/>
              </w:rPr>
              <w:t>Körperschaftsteuerpflichtige GmbH</w:t>
            </w:r>
          </w:p>
        </w:tc>
        <w:tc>
          <w:tcPr>
            <w:tcW w:type="dxa" w:w="2268"/>
          </w:tcPr>
          <w:p>
            <w:r>
              <w:rPr>
                <w:rFonts w:ascii="Times New Roman" w:hAnsi="Times New Roman"/>
                <w:sz w:val="20"/>
              </w:rPr>
              <w:t>HR-Auszug, Steuerstammdaten</w:t>
            </w:r>
          </w:p>
        </w:tc>
        <w:tc>
          <w:tcPr>
            <w:tcW w:type="dxa" w:w="2268"/>
          </w:tcPr>
          <w:p>
            <w:r>
              <w:rPr>
                <w:rFonts w:ascii="Times New Roman" w:hAnsi="Times New Roman"/>
                <w:sz w:val="20"/>
              </w:rPr>
              <w:t>gering</w:t>
            </w:r>
          </w:p>
        </w:tc>
      </w:tr>
      <w:tr>
        <w:tc>
          <w:tcPr>
            <w:tcW w:type="dxa" w:w="2268"/>
          </w:tcPr>
          <w:p>
            <w:r>
              <w:rPr>
                <w:rFonts w:ascii="Times New Roman" w:hAnsi="Times New Roman"/>
                <w:sz w:val="20"/>
              </w:rPr>
              <w:t>Wirtschaftsjahr</w:t>
            </w:r>
          </w:p>
        </w:tc>
        <w:tc>
          <w:tcPr>
            <w:tcW w:type="dxa" w:w="2268"/>
          </w:tcPr>
          <w:p>
            <w:r>
              <w:rPr>
                <w:rFonts w:ascii="Times New Roman" w:hAnsi="Times New Roman"/>
                <w:sz w:val="20"/>
              </w:rPr>
              <w:t>Kalenderjahr</w:t>
            </w:r>
          </w:p>
        </w:tc>
        <w:tc>
          <w:tcPr>
            <w:tcW w:type="dxa" w:w="2268"/>
          </w:tcPr>
          <w:p>
            <w:r>
              <w:rPr>
                <w:rFonts w:ascii="Times New Roman" w:hAnsi="Times New Roman"/>
                <w:sz w:val="20"/>
              </w:rPr>
              <w:t>Jahresabschlussentwürfe</w:t>
            </w:r>
          </w:p>
        </w:tc>
        <w:tc>
          <w:tcPr>
            <w:tcW w:type="dxa" w:w="2268"/>
          </w:tcPr>
          <w:p>
            <w:r>
              <w:rPr>
                <w:rFonts w:ascii="Times New Roman" w:hAnsi="Times New Roman"/>
                <w:sz w:val="20"/>
              </w:rPr>
              <w:t>gering</w:t>
            </w:r>
          </w:p>
        </w:tc>
      </w:tr>
      <w:tr>
        <w:tc>
          <w:tcPr>
            <w:tcW w:type="dxa" w:w="2268"/>
          </w:tcPr>
          <w:p>
            <w:r>
              <w:rPr>
                <w:rFonts w:ascii="Times New Roman" w:hAnsi="Times New Roman"/>
                <w:sz w:val="20"/>
              </w:rPr>
              <w:t>Bescheinigung</w:t>
            </w:r>
          </w:p>
        </w:tc>
        <w:tc>
          <w:tcPr>
            <w:tcW w:type="dxa" w:w="2268"/>
          </w:tcPr>
          <w:p>
            <w:r>
              <w:rPr>
                <w:rFonts w:ascii="Times New Roman" w:hAnsi="Times New Roman"/>
                <w:sz w:val="20"/>
              </w:rPr>
              <w:t>BSFZ-Bescheid/Antragsnummer</w:t>
            </w:r>
          </w:p>
        </w:tc>
        <w:tc>
          <w:tcPr>
            <w:tcW w:type="dxa" w:w="2268"/>
          </w:tcPr>
          <w:p>
            <w:r>
              <w:rPr>
                <w:rFonts w:ascii="Times New Roman" w:hAnsi="Times New Roman"/>
                <w:sz w:val="20"/>
              </w:rPr>
              <w:t>Portal fehlt vollständig</w:t>
            </w:r>
          </w:p>
        </w:tc>
        <w:tc>
          <w:tcPr>
            <w:tcW w:type="dxa" w:w="2268"/>
          </w:tcPr>
          <w:p>
            <w:r>
              <w:rPr>
                <w:rFonts w:ascii="Times New Roman" w:hAnsi="Times New Roman"/>
                <w:sz w:val="20"/>
              </w:rPr>
              <w:t>mittel</w:t>
            </w:r>
          </w:p>
        </w:tc>
      </w:tr>
      <w:tr>
        <w:tc>
          <w:tcPr>
            <w:tcW w:type="dxa" w:w="2268"/>
          </w:tcPr>
          <w:p>
            <w:r>
              <w:rPr>
                <w:rFonts w:ascii="Times New Roman" w:hAnsi="Times New Roman"/>
                <w:sz w:val="20"/>
              </w:rPr>
              <w:t>Personalkosten</w:t>
            </w:r>
          </w:p>
        </w:tc>
        <w:tc>
          <w:tcPr>
            <w:tcW w:type="dxa" w:w="2268"/>
          </w:tcPr>
          <w:p>
            <w:r>
              <w:rPr>
                <w:rFonts w:ascii="Times New Roman" w:hAnsi="Times New Roman"/>
                <w:sz w:val="20"/>
              </w:rPr>
              <w:t>je Wirtschaftsjahr</w:t>
            </w:r>
          </w:p>
        </w:tc>
        <w:tc>
          <w:tcPr>
            <w:tcW w:type="dxa" w:w="2268"/>
          </w:tcPr>
          <w:p>
            <w:r>
              <w:rPr>
                <w:rFonts w:ascii="Times New Roman" w:hAnsi="Times New Roman"/>
                <w:sz w:val="20"/>
              </w:rPr>
              <w:t>Lohnkonten, Stundenmatrix</w:t>
            </w:r>
          </w:p>
        </w:tc>
        <w:tc>
          <w:tcPr>
            <w:tcW w:type="dxa" w:w="2268"/>
          </w:tcPr>
          <w:p>
            <w:r>
              <w:rPr>
                <w:rFonts w:ascii="Times New Roman" w:hAnsi="Times New Roman"/>
                <w:sz w:val="20"/>
              </w:rPr>
              <w:t>hoch</w:t>
            </w:r>
          </w:p>
        </w:tc>
      </w:tr>
      <w:tr>
        <w:tc>
          <w:tcPr>
            <w:tcW w:type="dxa" w:w="2268"/>
          </w:tcPr>
          <w:p>
            <w:r>
              <w:rPr>
                <w:rFonts w:ascii="Times New Roman" w:hAnsi="Times New Roman"/>
                <w:sz w:val="20"/>
              </w:rPr>
              <w:t>Auftragsforschung</w:t>
            </w:r>
          </w:p>
        </w:tc>
        <w:tc>
          <w:tcPr>
            <w:tcW w:type="dxa" w:w="2268"/>
          </w:tcPr>
          <w:p>
            <w:r>
              <w:rPr>
                <w:rFonts w:ascii="Times New Roman" w:hAnsi="Times New Roman"/>
                <w:sz w:val="20"/>
              </w:rPr>
              <w:t>Entgelt, Quote, Vertrag</w:t>
            </w:r>
          </w:p>
        </w:tc>
        <w:tc>
          <w:tcPr>
            <w:tcW w:type="dxa" w:w="2268"/>
          </w:tcPr>
          <w:p>
            <w:r>
              <w:rPr>
                <w:rFonts w:ascii="Times New Roman" w:hAnsi="Times New Roman"/>
                <w:sz w:val="20"/>
              </w:rPr>
              <w:t>Lusitano-Vertrag</w:t>
            </w:r>
          </w:p>
        </w:tc>
        <w:tc>
          <w:tcPr>
            <w:tcW w:type="dxa" w:w="2268"/>
          </w:tcPr>
          <w:p>
            <w:r>
              <w:rPr>
                <w:rFonts w:ascii="Times New Roman" w:hAnsi="Times New Roman"/>
                <w:sz w:val="20"/>
              </w:rPr>
              <w:t>hoch</w:t>
            </w:r>
          </w:p>
        </w:tc>
      </w:tr>
      <w:tr>
        <w:tc>
          <w:tcPr>
            <w:tcW w:type="dxa" w:w="2268"/>
          </w:tcPr>
          <w:p>
            <w:r>
              <w:rPr>
                <w:rFonts w:ascii="Times New Roman" w:hAnsi="Times New Roman"/>
                <w:sz w:val="20"/>
              </w:rPr>
              <w:t>Kumulierung</w:t>
            </w:r>
          </w:p>
        </w:tc>
        <w:tc>
          <w:tcPr>
            <w:tcW w:type="dxa" w:w="2268"/>
          </w:tcPr>
          <w:p>
            <w:r>
              <w:rPr>
                <w:rFonts w:ascii="Times New Roman" w:hAnsi="Times New Roman"/>
                <w:sz w:val="20"/>
              </w:rPr>
              <w:t>weitere Förderungen</w:t>
            </w:r>
          </w:p>
        </w:tc>
        <w:tc>
          <w:tcPr>
            <w:tcW w:type="dxa" w:w="2268"/>
          </w:tcPr>
          <w:p>
            <w:r>
              <w:rPr>
                <w:rFonts w:ascii="Times New Roman" w:hAnsi="Times New Roman"/>
                <w:sz w:val="20"/>
              </w:rPr>
              <w:t>ZIM/Hessen/Horizon-Liste</w:t>
            </w:r>
          </w:p>
        </w:tc>
        <w:tc>
          <w:tcPr>
            <w:tcW w:type="dxa" w:w="2268"/>
          </w:tcPr>
          <w:p>
            <w:r>
              <w:rPr>
                <w:rFonts w:ascii="Times New Roman" w:hAnsi="Times New Roman"/>
                <w:sz w:val="20"/>
              </w:rPr>
              <w:t>mittel</w:t>
            </w:r>
          </w:p>
        </w:tc>
      </w:tr>
      <w:tr>
        <w:tc>
          <w:tcPr>
            <w:tcW w:type="dxa" w:w="2268"/>
          </w:tcPr>
          <w:p>
            <w:r>
              <w:rPr>
                <w:rFonts w:ascii="Times New Roman" w:hAnsi="Times New Roman"/>
                <w:sz w:val="20"/>
              </w:rPr>
              <w:t>Verbund/KMU</w:t>
            </w:r>
          </w:p>
        </w:tc>
        <w:tc>
          <w:tcPr>
            <w:tcW w:type="dxa" w:w="2268"/>
          </w:tcPr>
          <w:p>
            <w:r>
              <w:rPr>
                <w:rFonts w:ascii="Times New Roman" w:hAnsi="Times New Roman"/>
                <w:sz w:val="20"/>
              </w:rPr>
              <w:t>Investor/Beherrschung</w:t>
            </w:r>
          </w:p>
        </w:tc>
        <w:tc>
          <w:tcPr>
            <w:tcW w:type="dxa" w:w="2268"/>
          </w:tcPr>
          <w:p>
            <w:r>
              <w:rPr>
                <w:rFonts w:ascii="Times New Roman" w:hAnsi="Times New Roman"/>
                <w:sz w:val="20"/>
              </w:rPr>
              <w:t>Cap Table, Satzung</w:t>
            </w:r>
          </w:p>
        </w:tc>
        <w:tc>
          <w:tcPr>
            <w:tcW w:type="dxa" w:w="2268"/>
          </w:tcPr>
          <w:p>
            <w:r>
              <w:rPr>
                <w:rFonts w:ascii="Times New Roman" w:hAnsi="Times New Roman"/>
                <w:sz w:val="20"/>
              </w:rPr>
              <w:t>offen</w:t>
            </w:r>
          </w:p>
        </w:tc>
      </w:tr>
    </w:tbl>
    <w:p>
      <w:pPr>
        <w:pStyle w:val="Heading2"/>
      </w:pPr>
      <w:r>
        <w:rPr>
          <w:rFonts w:ascii="Times New Roman" w:hAnsi="Times New Roman"/>
        </w:rPr>
        <w:t>Praktische Reihenfolge</w:t>
      </w:r>
    </w:p>
    <w:p>
      <w:pPr>
        <w:pStyle w:val="ListNumber"/>
      </w:pPr>
      <w:r>
        <w:t>BSFZ-Frist und Portalstand sichern.</w:t>
      </w:r>
    </w:p>
    <w:p>
      <w:pPr>
        <w:pStyle w:val="ListNumber"/>
      </w:pPr>
      <w:r>
        <w:t>Technische Antwort fertigstellen.</w:t>
      </w:r>
    </w:p>
    <w:p>
      <w:pPr>
        <w:pStyle w:val="ListNumber"/>
      </w:pPr>
      <w:r>
        <w:t>Bemessungsgrundlage konservativ bereinigen.</w:t>
      </w:r>
    </w:p>
    <w:p>
      <w:pPr>
        <w:pStyle w:val="ListNumber"/>
      </w:pPr>
      <w:r>
        <w:t>ELSTER-Entwurf nur mit dokumentierten Beträgen befüllen.</w:t>
      </w:r>
    </w:p>
    <w:p>
      <w:pPr>
        <w:pStyle w:val="ListNumber"/>
      </w:pPr>
      <w:r>
        <w:t>Anlagenverzeichnis als Prüfspur beilegen.</w:t>
      </w:r>
    </w:p>
    <w:p>
      <w:pPr>
        <w:pStyle w:val="ListNumber"/>
      </w:pPr>
      <w:r>
        <w:t>Einspruchsstrategie erst nach Bescheid, nicht vorab eskalieren.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