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Bank Covenant und Liquiditätsmemo</w:t>
      </w:r>
    </w:p>
    <w:p>
      <w:pPr>
        <w:pStyle w:val="Heading2"/>
      </w:pPr>
      <w:r>
        <w:rPr>
          <w:rFonts w:ascii="Times New Roman" w:hAnsi="Times New Roman"/>
        </w:rPr>
        <w:t>Banklage</w:t>
      </w:r>
    </w:p>
    <w:p>
      <w:pPr>
        <w:jc w:val="left"/>
      </w:pPr>
      <w:r>
        <w:t>Die Taunusbank finanziert Betriebsmittel mit einer Linie von 1,8 Mio. EUR. Der Covenant verlangt quartalsweise Liquiditätsreporting und eine Mindestliquidität von 450.000 EUR. Riedblick plant die Forschungszulage als möglichen Liquiditätszufluss. Die Bank darf aber nicht den Eindruck bekommen, es handele sich um eine bereits feststehende Forderung.</w:t>
      </w:r>
    </w:p>
    <w:p>
      <w:pPr>
        <w:pStyle w:val="Heading2"/>
      </w:pPr>
      <w:r>
        <w:rPr>
          <w:rFonts w:ascii="Times New Roman" w:hAnsi="Times New Roman"/>
        </w:rPr>
        <w:t>Darstellungsvorschlag</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Szenario</w:t>
            </w:r>
          </w:p>
        </w:tc>
        <w:tc>
          <w:tcPr>
            <w:tcW w:type="dxa" w:w="3024"/>
          </w:tcPr>
          <w:p>
            <w:r>
              <w:rPr>
                <w:rFonts w:ascii="Times New Roman" w:hAnsi="Times New Roman"/>
                <w:b/>
                <w:sz w:val="20"/>
              </w:rPr>
              <w:t>Ansatz in Bankplanung</w:t>
            </w:r>
          </w:p>
        </w:tc>
        <w:tc>
          <w:tcPr>
            <w:tcW w:type="dxa" w:w="3024"/>
          </w:tcPr>
          <w:p>
            <w:r>
              <w:rPr>
                <w:rFonts w:ascii="Times New Roman" w:hAnsi="Times New Roman"/>
                <w:b/>
                <w:sz w:val="20"/>
              </w:rPr>
              <w:t>Begründung</w:t>
            </w:r>
          </w:p>
        </w:tc>
      </w:tr>
      <w:tr>
        <w:tc>
          <w:tcPr>
            <w:tcW w:type="dxa" w:w="3024"/>
          </w:tcPr>
          <w:p>
            <w:r>
              <w:rPr>
                <w:rFonts w:ascii="Times New Roman" w:hAnsi="Times New Roman"/>
                <w:sz w:val="20"/>
              </w:rPr>
              <w:t>Basis</w:t>
            </w:r>
          </w:p>
        </w:tc>
        <w:tc>
          <w:tcPr>
            <w:tcW w:type="dxa" w:w="3024"/>
          </w:tcPr>
          <w:p>
            <w:r>
              <w:rPr>
                <w:rFonts w:ascii="Times New Roman" w:hAnsi="Times New Roman"/>
                <w:sz w:val="20"/>
              </w:rPr>
              <w:t>0 EUR bis 31.12.2026</w:t>
            </w:r>
          </w:p>
        </w:tc>
        <w:tc>
          <w:tcPr>
            <w:tcW w:type="dxa" w:w="3024"/>
          </w:tcPr>
          <w:p>
            <w:r>
              <w:rPr>
                <w:rFonts w:ascii="Times New Roman" w:hAnsi="Times New Roman"/>
                <w:sz w:val="20"/>
              </w:rPr>
              <w:t>Verfahren offen, kein gesicherter Zufluss</w:t>
            </w:r>
          </w:p>
        </w:tc>
      </w:tr>
      <w:tr>
        <w:tc>
          <w:tcPr>
            <w:tcW w:type="dxa" w:w="3024"/>
          </w:tcPr>
          <w:p>
            <w:r>
              <w:rPr>
                <w:rFonts w:ascii="Times New Roman" w:hAnsi="Times New Roman"/>
                <w:sz w:val="20"/>
              </w:rPr>
              <w:t>Realistisch</w:t>
            </w:r>
          </w:p>
        </w:tc>
        <w:tc>
          <w:tcPr>
            <w:tcW w:type="dxa" w:w="3024"/>
          </w:tcPr>
          <w:p>
            <w:r>
              <w:rPr>
                <w:rFonts w:ascii="Times New Roman" w:hAnsi="Times New Roman"/>
                <w:sz w:val="20"/>
              </w:rPr>
              <w:t>210.000 EUR in Q2/2027</w:t>
            </w:r>
          </w:p>
        </w:tc>
        <w:tc>
          <w:tcPr>
            <w:tcW w:type="dxa" w:w="3024"/>
          </w:tcPr>
          <w:p>
            <w:r>
              <w:rPr>
                <w:rFonts w:ascii="Times New Roman" w:hAnsi="Times New Roman"/>
                <w:sz w:val="20"/>
              </w:rPr>
              <w:t>nach Bereinigung AP6 und Teilanerkennung Lissabon</w:t>
            </w:r>
          </w:p>
        </w:tc>
      </w:tr>
      <w:tr>
        <w:tc>
          <w:tcPr>
            <w:tcW w:type="dxa" w:w="3024"/>
          </w:tcPr>
          <w:p>
            <w:r>
              <w:rPr>
                <w:rFonts w:ascii="Times New Roman" w:hAnsi="Times New Roman"/>
                <w:sz w:val="20"/>
              </w:rPr>
              <w:t>Upside</w:t>
            </w:r>
          </w:p>
        </w:tc>
        <w:tc>
          <w:tcPr>
            <w:tcW w:type="dxa" w:w="3024"/>
          </w:tcPr>
          <w:p>
            <w:r>
              <w:rPr>
                <w:rFonts w:ascii="Times New Roman" w:hAnsi="Times New Roman"/>
                <w:sz w:val="20"/>
              </w:rPr>
              <w:t>340.000 EUR in Q1/Q2 2027</w:t>
            </w:r>
          </w:p>
        </w:tc>
        <w:tc>
          <w:tcPr>
            <w:tcW w:type="dxa" w:w="3024"/>
          </w:tcPr>
          <w:p>
            <w:r>
              <w:rPr>
                <w:rFonts w:ascii="Times New Roman" w:hAnsi="Times New Roman"/>
                <w:sz w:val="20"/>
              </w:rPr>
              <w:t>nur bei AP7 und KMU-/Pauschalenannahme</w:t>
            </w:r>
          </w:p>
        </w:tc>
      </w:tr>
    </w:tbl>
    <w:p>
      <w:pPr>
        <w:pStyle w:val="Heading2"/>
      </w:pPr>
      <w:r>
        <w:rPr>
          <w:rFonts w:ascii="Times New Roman" w:hAnsi="Times New Roman"/>
        </w:rPr>
        <w:t>Haftungsnotiz</w:t>
      </w:r>
    </w:p>
    <w:p>
      <w:pPr>
        <w:jc w:val="left"/>
      </w:pPr>
      <w:r>
        <w:t>Die Geschäftsführung sollte die Forschungszulage als Chance, nicht als Liquiditätsgarantie darstellen. Werden in der Planung unsichere Ansprüche wie sichere Mittel behandelt, entstehen spätere Angriffsflächen gegenüber Bank, Investoren und gegebenenfalls Insolvenzverwaltung.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