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Investorenmeeting Protokollfragment</w:t>
      </w:r>
    </w:p>
    <w:p>
      <w:pPr>
        <w:pStyle w:val="Heading2"/>
      </w:pPr>
      <w:r>
        <w:rPr>
          <w:rFonts w:ascii="Times New Roman" w:hAnsi="Times New Roman"/>
        </w:rPr>
        <w:t>Ausschnitt 06.06.2026</w:t>
      </w:r>
    </w:p>
    <w:p>
      <w:pPr>
        <w:jc w:val="left"/>
      </w:pPr>
      <w:r>
        <w:t>Helikon Growth fragt, ob die Forschungszulage schon in der Runway-Berechnung berücksichtigt ist. CFO Eichwald erklärt, die Gesellschaft rechne konservativ ohne Auszahlung in 2026. CTO Falkenstein widerspricht im Call und sagt, "wenn BSFZ das Projekt versteht, kommt das Geld". RAin Norderhof stellt klar, dass erst technische Bescheinigung, steuerlicher Antrag, Festsetzung und mögliche Anrechnung/Erstattung zusammenwirken.</w:t>
      </w:r>
    </w:p>
    <w:p>
      <w:pPr>
        <w:pStyle w:val="Heading2"/>
      </w:pPr>
      <w:r>
        <w:rPr>
          <w:rFonts w:ascii="Times New Roman" w:hAnsi="Times New Roman"/>
        </w:rPr>
        <w:t>Spannung</w:t>
      </w:r>
    </w:p>
    <w:p>
      <w:pPr>
        <w:jc w:val="left"/>
      </w:pPr>
      <w:r>
        <w:t>Der Investor möchte einen ambitionierten Forecast. Die Beraterseite muss verhindern, dass aus Förderpotenzial ein bilanziell oder liquiditätsmäßig überharter Anspruch wird. Gleichzeitig soll die Forschungszulage nicht kleingeredet werden, weil sie bei sauberer Akte erheblich sein kann.</w:t>
      </w:r>
    </w:p>
    <w:p>
      <w:pPr>
        <w:pStyle w:val="Heading2"/>
      </w:pPr>
      <w:r>
        <w:rPr>
          <w:rFonts w:ascii="Times New Roman" w:hAnsi="Times New Roman"/>
        </w:rPr>
        <w:t>Nachtrag</w:t>
      </w:r>
    </w:p>
    <w:p>
      <w:pPr>
        <w:jc w:val="left"/>
      </w:pPr>
      <w:r>
        <w:t>Die Frage, ob Helikon Growth für die KMU-Erhöhung und Verbundbetrachtung relevant ist, wurde im Call nicht entschieden. Satzung, Beteiligungsverträge und Zustimmungsvorbehalte sind anzufordern.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