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Vorschau: 03_SuSa_30-04-2026</w:t>
      </w:r>
    </w:p>
    <w:p>
      <w:pPr>
        <w:ind w:left="567"/>
      </w:pPr>
      <w:r>
        <w:rPr>
          <w:i/>
        </w:rPr>
        <w:t>Markdown-Vorschau der gleichnamigen XLSX-Datei. Berechnungen, Formeln und Formatierung nur im Original.</w:t>
      </w:r>
    </w:p>
    <w:p>
      <w:pPr>
        <w:pStyle w:val="Heading2"/>
      </w:pPr>
      <w:r>
        <w:rPr>
          <w:rFonts w:ascii="Times New Roman" w:hAnsi="Times New Roman"/>
        </w:rPr>
        <w:t>Sheet: SuSa 30.04.2026</w:t>
      </w:r>
    </w:p>
    <w:p>
      <w:pPr>
        <w:pStyle w:val="Heading3"/>
      </w:pPr>
      <w:r>
        <w:rPr>
          <w:rFonts w:ascii="Times New Roman" w:hAnsi="Times New Roman"/>
        </w:rPr>
        <w:t>SUMMEN- UND SALDENLISTE — Paragrafix GmbH — Stichtag 30. April 2026</w:t>
      </w:r>
    </w:p>
    <w:p>
      <w:pPr>
        <w:jc w:val="left"/>
      </w:pPr>
      <w:r>
        <w:t>_Buchführungssystem: DATEV SKR03 — Buchungsperiode 01.01.2026–30.04.2026 — HRB 247841 B AG Charlottenburg — Mandant: 12847_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Kto.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Kontobezeichnung (SKR03)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Anfang Soll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Anfang Haben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Umsatz Soll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Umsatz Haben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Saldo Soll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b/>
                <w:sz w:val="20"/>
              </w:rPr>
              <w:t>Saldo Haben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AKTIVA-KONTEN (Bilanzkonten)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0200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Aktivierte Software-Entwicklungsleistungen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412.000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412.000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0440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Büroausstattung und IT-Geräte (netto nach AfA)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87.000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12.400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99.400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1200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Bank — Commerzbank DE84 2004 0040 0512 3470 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2.890.000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748.000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2.020.600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1.617.400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1201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Bank — Deutsche Bank DE21 1007 0024 0487 3120 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187.400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187.400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1203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Bank — Wise EUR/USD DE55 3006 0601 0042 8830 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45.000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42.000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3.000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1400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Forderungen aus Lieferungen und Leistungen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218.000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374.800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374.800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218.000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Sonstige Vermögensgegenstände / Prepaid-Lizenzen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31.000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31.000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PASSIVA-KONTEN (Bilanzkonten)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0800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Stammkapital / Gezeichnetes Kapital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25.000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25.000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0850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Kapitalrücklage (Series-A Investitionen, netto)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7.940.000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7.940.000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0860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Verlustvortrag (kumuliert bis 31.12.2024)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3.872.000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3.872.000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1600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Verbindlichkeiten aus Lieferungen und Leistungen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178.000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374.800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374.800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178.000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1710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Umsatzsteuer-Vorauszahlungen (19 % USt)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30.000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22.500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7.500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1730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Lohnsteuer-Verbindlichkeiten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88.000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88.000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1740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Verbindlichkeiten Sozialversicherungsträger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41.000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164.000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164.000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41.000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ERTRAGSKONTEN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8400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Erlöse Software-Abonnements SaaS (19 % USt)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748.000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748.000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8404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Erlöse Professional Services / Onboarding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22.000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22.000</w:t>
            </w:r>
          </w:p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8510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Erlöse sonstige (Support, Add-On-Module)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AUFWANDSKONTEN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3100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Fremdleistungen — LLM-Tokenkosten (OpenAI, Anthropic, Mistral)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152.000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152.000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3105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Fremdleistungen — Cloud-Hosting AWS eu-central-1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90.000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90.000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3106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Fremdleistungen — SaaS-Lizenzen (Linear, Notion, Sentry)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33.600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33.600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4100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Löhne und Gehälter (Brutto Festangestellte)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808.000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808.000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4130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Arbeitgeberanteil Sozialversicherung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180.000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180.000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4150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Werkstudenten-Vergütungen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28.800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28.800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4200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Gehälter Geschäftsführung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72.000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72.000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4210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Miete Büroräume Heidestraße 78, 10557 Berlin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74.800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74.800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4240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Nebenkosten Büroräume (Betriebskosten-Umlage)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12.000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12.000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4800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Werbe- und Marketingkosten (LinkedIn Ads, Messen)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96.000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96.000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4900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Reisekosten und Repräsentation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8.800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8.800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6855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Steuerberatungs- und Rechtsberatungskosten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24.800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24.800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4831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Sonstige betriebliche Aufwendungen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30.800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30.800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2100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Abschreibungen immaterielle Vermögensgegenstände (AfA)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82.400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82.400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2120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Abschreibungen Sachanlagen (AfA)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17.400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17.400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7685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Zinsaufwendungen und Bankgebühren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4.800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4.800</w:t>
            </w:r>
          </w:p>
        </w:tc>
        <w:tc>
          <w:tcPr>
            <w:tcW w:type="dxa" w:w="1134"/>
          </w:tcPr>
          <w:p/>
        </w:tc>
      </w:tr>
      <w:tr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SUMME GESAMT</w:t>
            </w:r>
          </w:p>
        </w:tc>
        <w:tc>
          <w:tcPr>
            <w:tcW w:type="dxa" w:w="1134"/>
          </w:tcPr>
          <w:p/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7.510.000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8.184.000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3.740.600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3.856.700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8.163.900</w:t>
            </w:r>
          </w:p>
        </w:tc>
        <w:tc>
          <w:tcPr>
            <w:tcW w:type="dxa" w:w="1134"/>
          </w:tcPr>
          <w:p>
            <w:r>
              <w:rPr>
                <w:rFonts w:ascii="Times New Roman" w:hAnsi="Times New Roman"/>
                <w:sz w:val="20"/>
              </w:rPr>
              <w:t>8.954.000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