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Frittenstern Franchise GmbH, Franchisenehmer Klemens Radloff, neue Gebietspartnerin Alina Böhmer und Lieferantin Gewürzwerk Rhein.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Der Franchisegeber will schnell expandieren, setzt neue Pflichtlieferanten ein und öffnet im geschützten Gebiet einen zweiten Standort.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BGB §§ 241 Abs. 2, 242, 280, 305 ff.; HGB-Handelsvertreteranalogien nur vorsichtig; Kartellrecht Art. 101 AEUV/GVO-Logik; vorvertragliche Aufklärungspflichten.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