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Frittenstern: Franchise-Expansion, Gebietsschutz und Systembruch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BGB §§ 241 Abs. 2, 242, 280, 305 ff.; HGB-Handelsvertreteranalogien nur vorsichtig; Kartellrecht Art. 101 AEUV/GVO-Logik; vorvertragliche Aufklärungspflichten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