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Frittenstern: Franchise-Expansion, Gebietsschutz und Systembruch</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Der Franchisegeber will schnell expandieren, setzt neue Pflichtlieferanten ein und öffnet im geschützten Gebiet einen zweiten Standort.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BGB §§ 241 Abs. 2, 242, 280, 305 ff.; HGB-Handelsvertreteranalogien nur vorsichtig; Kartellrecht Art. 101 AEUV/GVO-Logik; vorvertragliche Aufklärungspflichten.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