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Treffer-Cluster 4: CN-Patente — Goldwind und Rechercherisiken China</w:t>
      </w:r>
    </w:p>
    <w:p>
      <w:pPr>
        <w:jc w:val="left"/>
      </w:pPr>
      <w:r>
        <w:t>AZ: SE-2026-FTO-0717 | Bearb.: Dr. Eppendorfer | Stand: 10.02.2026</w:t>
      </w:r>
    </w:p>
    <w:p/>
    <w:p>
      <w:pPr>
        <w:pStyle w:val="Heading2"/>
      </w:pPr>
      <w:r>
        <w:rPr>
          <w:rFonts w:ascii="Times New Roman" w:hAnsi="Times New Roman"/>
        </w:rPr>
        <w:t>1. Überblick Cluster CN</w:t>
      </w:r>
    </w:p>
    <w:p>
      <w:pPr>
        <w:jc w:val="left"/>
      </w:pPr>
      <w:r>
        <w:t>Der chinesische Markt birgt ein strukturell erhöhtes Rechercherisiko wegen:</w:t>
      </w:r>
    </w:p>
    <w:p>
      <w:pPr>
        <w:pStyle w:val="ListNumber"/>
      </w:pPr>
      <w:r>
        <w:t>Unveröffentlichten Anmeldungen (18-Monatsfrist): Viele CN-Patente werden erst 18 Monate nach Anmeldetag veröffentlicht. Für Anmeldungen nach Juli 2024 besteht zum Recherchezeitpunkt (Jan 2026) noch keine vollständige Datenabdeckung.</w:t>
      </w:r>
    </w:p>
    <w:p>
      <w:pPr>
        <w:pStyle w:val="ListNumber"/>
      </w:pPr>
      <w:r>
        <w:t>Sprachliche Barriere: CN-Volltexte sind ausschließlich auf Chinesisch — Maschinenübersetzung (DeepL/Google) wurde verwendet, Genauigkeit eingeschränkt.</w:t>
      </w:r>
    </w:p>
    <w:p>
      <w:pPr>
        <w:pStyle w:val="ListNumber"/>
      </w:pPr>
      <w:r>
        <w:t>Heterogene Datenbankabdeckung: CNIPA-Datenbank (offizielle Quelle) ist nur über SooPAT und PATENTSCOPE teilweise zugänglich.</w:t>
      </w:r>
    </w:p>
    <w:p>
      <w:pPr>
        <w:pStyle w:val="Heading2"/>
      </w:pPr>
      <w:r>
        <w:rPr>
          <w:rFonts w:ascii="Times New Roman" w:hAnsi="Times New Roman"/>
        </w:rPr>
        <w:t>2. Tabellarische Übersicht CN-Treffer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Dokumentnummer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Anmelder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Anmeldetag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Veröff.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IPC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CN-01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 108 443 075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Xinjiang Goldwind Sci. &amp; Tech.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29.11.2017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27.08.2018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 110 159 514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Xinjiang Goldwind Sci. &amp; Tech.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14.02.2019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23.08.2019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CN-03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 112 012 872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CSSC Haizhuang Windpower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07.10.2020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03.12.2020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80/00, H05B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CN-04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 113 236 499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Envision Energy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12.04.2021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11.08.2021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CN-05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 116 085 192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Ming Yang Smart Energy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08.11.2022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09.05.2023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 2203/016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ROT (vorläufig)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CN-06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CN 114 658 601 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Windey (Zhejiang)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11.08.2021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22.06.2022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Detailanalyse prioritärer CN-Treffer</w:t>
      </w:r>
    </w:p>
    <w:p>
      <w:pPr>
        <w:pStyle w:val="Heading3"/>
      </w:pPr>
      <w:r>
        <w:rPr>
          <w:rFonts w:ascii="Times New Roman" w:hAnsi="Times New Roman"/>
        </w:rPr>
        <w:t>CN-01 | CN 108 443 075 A — Xinjiang Goldwind Science &amp; Technology Co., Ltd.</w:t>
      </w:r>
    </w:p>
    <w:p>
      <w:pPr>
        <w:jc w:val="left"/>
      </w:pPr>
      <w:r>
        <w:t>Titel (Maschinenübersetzung): „Windturbinen-Rotorblatt-Heizsystem mit mehrzoniger Widerstandsheizmatrix"</w:t>
      </w:r>
    </w:p>
    <w:p>
      <w:pPr>
        <w:jc w:val="left"/>
      </w:pPr>
      <w:r>
        <w:t>Erteilt: Suche in CNIPA ergab Erteilungsmeldung CN 108 443 075 B (Erteilungsversion) per 12.03.2021. Status: In Kraft (Jahresgebühr 2025 bezahlt per Registerdaten).</w:t>
      </w:r>
    </w:p>
    <w:p>
      <w:pPr>
        <w:jc w:val="left"/>
      </w:pPr>
      <w:r>
        <w:t>Anspruchslage (Maschinenübersetzung Anspruch 1): „Heizsystem für Windkraftrotorblätter, umfassend: Widerstandsheizelemente aus leitfähigem Verbundmaterial; Heizzonen mit abgestufter Heizleistung; Temperatursensoren zur Eisdetektion; Steuereinheit zur zonenweisen Aktivierung."</w:t>
      </w:r>
    </w:p>
    <w:p>
      <w:pPr>
        <w:jc w:val="left"/>
      </w:pPr>
      <w:r>
        <w:t>Einschätzung: Anspruch 1 ist nach Maschinenübersetzung weit formuliert. Kohlefaservlies als „leitfähiges Verbundmaterial" potenziell erfasst. Aber: Temperatursensoren (nicht kapazitiv) als Eisdetektion — mögliche Differenzierung. Vollständige Rechtsprüfung durch CN-Patentanwalt (Kooperationskanzlei Zhonglun W&amp;D, Peking) ist vorzubereiten.</w:t>
      </w:r>
    </w:p>
    <w:p>
      <w:pPr>
        <w:jc w:val="left"/>
      </w:pPr>
      <w:r>
        <w:t xml:space="preserve">Einschätzung vorläufig: </w:t>
      </w:r>
      <w:r>
        <w:rPr>
          <w:b/>
        </w:rPr>
        <w:t>GELB</w:t>
      </w:r>
      <w:r>
        <w:t xml:space="preserve"> — CN-Patentanwalt hinzuziehen.</w:t>
      </w:r>
    </w:p>
    <w:p>
      <w:pPr>
        <w:pStyle w:val="Heading3"/>
      </w:pPr>
      <w:r>
        <w:rPr>
          <w:rFonts w:ascii="Times New Roman" w:hAnsi="Times New Roman"/>
        </w:rPr>
        <w:t>CN-02 | CN 110 159 514 A — Xinjiang Goldwind Science &amp; Technology</w:t>
      </w:r>
    </w:p>
    <w:p>
      <w:pPr>
        <w:jc w:val="left"/>
      </w:pPr>
      <w:r>
        <w:t>Titel (Maschinenübersetzung): „Verfahren und Vorrichtung zur intelligenten Enteisungssteuerung für Windkraft-Rotorblätter unter Einsatz von maschinellem Lernen"</w:t>
      </w:r>
    </w:p>
    <w:p>
      <w:pPr>
        <w:jc w:val="left"/>
      </w:pPr>
      <w:r>
        <w:t>Veröffentlicht 23.08.2019. Erteilungsstatus nicht eindeutig aus Datenbankrecherche — möglicherweise anhängig (keine Erteilungsnummer in CNIPA-Abfrage per 24.01.2026).</w:t>
      </w:r>
    </w:p>
    <w:p>
      <w:pPr>
        <w:jc w:val="left"/>
      </w:pPr>
      <w:r>
        <w:t>Anspruch 1 (Maschinenübersetzung): Verfahren zur Rotorblatt-Enteisungssteuerung, umfassend ML-basierte Eisbildungsvorhersage aus Wetter- und Sensordaten. Relevanz für IceFree v3 potenziell hoch (ML-Komponente). Aber: ohne Erteilung kein Verletzungsrisiko.</w:t>
      </w:r>
    </w:p>
    <w:p>
      <w:pPr>
        <w:jc w:val="left"/>
      </w:pPr>
      <w:r>
        <w:t xml:space="preserve">Einschätzung: </w:t>
      </w:r>
      <w:r>
        <w:rPr>
          <w:b/>
        </w:rPr>
        <w:t>GELB</w:t>
      </w:r>
      <w:r>
        <w:t xml:space="preserve"> — Erteilungsstatus klären lassen; bei Erteilung sofort Volltext analysieren.</w:t>
      </w:r>
    </w:p>
    <w:p>
      <w:pPr>
        <w:pStyle w:val="Heading3"/>
      </w:pPr>
      <w:r>
        <w:rPr>
          <w:rFonts w:ascii="Times New Roman" w:hAnsi="Times New Roman"/>
        </w:rPr>
        <w:t>CN-05 | CN 116 085 192 A — Ming Yang Smart Energy Group Co., Ltd.</w:t>
      </w:r>
    </w:p>
    <w:p>
      <w:pPr>
        <w:jc w:val="left"/>
      </w:pPr>
      <w:r>
        <w:t>Titel (Maschinenübersetzung): „Windkraftrotorblatt-Heizsystem mit kapazitiver Eisdetektion, Kohlefaser-Heizelementen und induktiver Energieübertragung"</w:t>
      </w:r>
    </w:p>
    <w:p>
      <w:pPr>
        <w:jc w:val="left"/>
      </w:pPr>
      <w:r>
        <w:t>Veröffentlicht 09.05.2023. Erteilungsstatus: CN 116 085 192 B erteilt per 14.02.2024 (aus CNIPA-Datenbankabfrage).</w:t>
      </w:r>
    </w:p>
    <w:p>
      <w:pPr>
        <w:jc w:val="left"/>
      </w:pPr>
      <w:r>
        <w:t>Anspruchslage (Maschinenübersetzung Anspruch 1): „Heizsystem für Windkraft-Rotorblätter, umfassend: Heizelemente aus Kohlefaser-Verbundwerkstoff; kapazitive Sensoren zur Eisdetektion; kontaktlose induktive Energieübertragung; zonale Steuerung mit mindestens 3 Heizzonen."</w:t>
      </w:r>
    </w:p>
    <w:p>
      <w:pPr>
        <w:jc w:val="left"/>
      </w:pPr>
      <w:r>
        <w:t xml:space="preserve">Einschätzung: </w:t>
      </w:r>
      <w:r>
        <w:rPr>
          <w:b/>
        </w:rPr>
        <w:t>ROT (vorläufig)</w:t>
      </w:r>
      <w:r>
        <w:t xml:space="preserve"> — nach Maschinenübersetzung identische Merkmalskombination wie IceFree v3. Allerdings: Maschinenübersetzung unsicher; CN-Patentanwalt muss Volltextanalyse auf Chinesisch durchführen. Ergebnis bis 28.02.2026 erwünscht.</w:t>
      </w:r>
    </w:p>
    <w:p>
      <w:pPr>
        <w:pStyle w:val="Heading2"/>
      </w:pPr>
      <w:r>
        <w:rPr>
          <w:rFonts w:ascii="Times New Roman" w:hAnsi="Times New Roman"/>
        </w:rPr>
        <w:t>4. Strukturelles Risiko: Unveröffentlichte CN-Anmeldungen</w:t>
      </w:r>
    </w:p>
    <w:p>
      <w:pPr>
        <w:jc w:val="left"/>
      </w:pPr>
      <w:r>
        <w:t>Statistisches Modell: Im Technologiefeld F03D 80/40 wurden 2023 insgesamt 847 CN-Anmeldungen eingereicht (CNIPA-Statistik). Bei 18-monatiger Veröffentlichungsfrist sind ca. 120 Anmeldungen aus H2 2024 noch nicht veröffentlicht. Unter diesen könnten weitere Ming-Yang-, Goldwind- oder andere chinesische Anmeldungen sein, die IceFree-v3-relevante Merkmale beanspruchen.</w:t>
      </w:r>
    </w:p>
    <w:p>
      <w:pPr>
        <w:jc w:val="left"/>
      </w:pPr>
      <w:r>
        <w:t>Risikobewertung: Der Mandant sollte den chinesischen Markt erst nach Ablauf der Veröffentlichungsfrist der Anmeldewellen aus 2024 vollständig beurteilen können (Verfügbarkeit ca. Q1 2026). Aktuell besteht eine inhärente Recherchelücke von ca. 10–15 %.</w:t>
      </w:r>
    </w:p>
    <w:p>
      <w:pPr>
        <w:pStyle w:val="Heading2"/>
      </w:pPr>
      <w:r>
        <w:rPr>
          <w:rFonts w:ascii="Times New Roman" w:hAnsi="Times New Roman"/>
        </w:rPr>
        <w:t>5. Fazit Cluster CN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CN-05 Ming Yang — CN-Patentanwalt Volltext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CN-01, CN-02, CN-04 — Erteilungsstatus und Volltext klären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CN-03, CN-06 — kein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Unveröffentlicht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10–15 % Recherchelücke strukturell</w:t>
            </w:r>
          </w:p>
        </w:tc>
      </w:tr>
    </w:tbl>
    <w:p>
      <w:pPr>
        <w:jc w:val="left"/>
      </w:pPr>
      <w:r>
        <w:t>Kooperationskanzlei für CN: Zhonglun W&amp;D Law Firm, Peking — Beauftragung vorzubereiten (Kostenrahmen ca. EUR 8.000–12.000 zusätzlich).</w:t>
      </w:r>
    </w:p>
    <w:p>
      <w:pPr>
        <w:jc w:val="left"/>
      </w:pPr>
      <w:r>
        <w:t>Quellen: CNIPA China | SooPAT CN Patent Database | WIPO PATENTSCOPE | DPMA — Internationale Patente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