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Anspruchsanalyse: Unabhängige Ansprüche 1, 13, 21 (EP 3 218 922 B1)</w:t>
      </w:r>
    </w:p>
    <w:p>
      <w:pPr>
        <w:jc w:val="left"/>
      </w:pPr>
      <w:r>
        <w:t>AZ: SE-2026-FTO-0717 | Bearb.: Dr. Stadter-Birkenhain | Stand: 17.02.2026</w:t>
      </w:r>
    </w:p>
    <w:p/>
    <w:p>
      <w:pPr>
        <w:pStyle w:val="Heading2"/>
      </w:pPr>
      <w:r>
        <w:rPr>
          <w:rFonts w:ascii="Times New Roman" w:hAnsi="Times New Roman"/>
        </w:rPr>
        <w:t>1. Methodik der Anspruchsanalyse</w:t>
      </w:r>
    </w:p>
    <w:p>
      <w:pPr>
        <w:jc w:val="left"/>
      </w:pPr>
      <w:r>
        <w:t>Die Anspruchsanalyse folgt der im deutschen und europäischen Patentrecht anerkannten Methode der Merkmalsanalyse (Feature Analysis):</w:t>
      </w:r>
    </w:p>
    <w:p>
      <w:pPr>
        <w:pStyle w:val="ListNumber"/>
      </w:pPr>
      <w:r>
        <w:t>Vollständiger Anspruchswortlaut wird in einzelne Merkmale (Features) aufgegliedert.</w:t>
      </w:r>
    </w:p>
    <w:p>
      <w:pPr>
        <w:pStyle w:val="ListNumber"/>
      </w:pPr>
      <w:r>
        <w:t>Jedes Merkmal wird nach Wortlaut und Beschreibung interpretiert.</w:t>
      </w:r>
    </w:p>
    <w:p>
      <w:pPr>
        <w:pStyle w:val="ListNumber"/>
      </w:pPr>
      <w:r>
        <w:t>Technischer Bedeutungsgehalt jedes Merkmals wird aus Beschreibung und Zeichnungen ermittelt.</w:t>
      </w:r>
    </w:p>
    <w:p>
      <w:pPr>
        <w:pStyle w:val="ListNumber"/>
      </w:pPr>
      <w:r>
        <w:t>Schutzbereichsinterpretation nach Art. 69 EPÜ i.V.m. Protokoll: weder streng wörtlich (zentrale Definition) noch zu weit (peripheres Prinzip); „fairer Schutzumfang".</w:t>
      </w:r>
    </w:p>
    <w:p>
      <w:pPr>
        <w:pStyle w:val="Heading2"/>
      </w:pPr>
      <w:r>
        <w:rPr>
          <w:rFonts w:ascii="Times New Roman" w:hAnsi="Times New Roman"/>
        </w:rPr>
        <w:t>2. Anspruch 1 — Merkmalsanalyse (Vorrichtungsanspruch)</w:t>
      </w:r>
    </w:p>
    <w:p>
      <w:pPr>
        <w:jc w:val="left"/>
      </w:pPr>
      <w:r>
        <w:t>Wortlaut Anspruch 1 (aus Erteilungsschrift EP 3 218 922 B1, Seite 12):</w:t>
      </w:r>
    </w:p>
    <w:p>
      <w:pPr>
        <w:ind w:left="567"/>
      </w:pPr>
      <w:r>
        <w:rPr>
          <w:i/>
        </w:rPr>
        <w:t>„Elektrothermisches Heizsystem (1) für Rotorblätter (2) einer Windkraftanlage, dadurch gekennzeichnet, dass das System umfasst:</w:t>
      </w:r>
    </w:p>
    <w:p>
      <w:pPr>
        <w:ind w:left="567"/>
      </w:pPr>
      <w:r>
        <w:rPr>
          <w:i/>
        </w:rPr>
        <w:t>(a) mindestens drei entlang der Längsachse des Rotorblatts (2) angeordnete Heizzonen (Z1, Z2, Z3) mit jeweils unterschiedlichen maximal abrufbaren Heizleistungsdichten;</w:t>
      </w:r>
    </w:p>
    <w:p>
      <w:pPr>
        <w:ind w:left="567"/>
      </w:pPr>
      <w:r>
        <w:rPr>
          <w:i/>
        </w:rPr>
        <w:t>(b) in die Schichtstruktur des Rotorblatts (2) integrierte elektrische Heizelemente (4) aus einem kohlenstoffbasierten Widerstandsmaterial;</w:t>
      </w:r>
    </w:p>
    <w:p>
      <w:pPr>
        <w:ind w:left="567"/>
      </w:pPr>
      <w:r>
        <w:rPr>
          <w:i/>
        </w:rPr>
        <w:t>(c) eine kapazitive Sensoranordnung (5) zur Messung der Eisdicke an der Außenoberfläche des Rotorblatts (2);</w:t>
      </w:r>
    </w:p>
    <w:p>
      <w:pPr>
        <w:ind w:left="567"/>
      </w:pPr>
      <w:r>
        <w:rPr>
          <w:i/>
        </w:rPr>
        <w:t>(d) eine Vorrichtung (6) zur kontaktlosen Übertragung elektrischer Energie von einem stationären Teil der Windkraftanlage auf einen rotierenden Teil der Windkraftanlage; und</w:t>
      </w:r>
    </w:p>
    <w:p>
      <w:pPr>
        <w:ind w:left="567"/>
      </w:pPr>
      <w:r>
        <w:rPr>
          <w:i/>
        </w:rPr>
        <w:t>(e) eine Steuereinheit (7), die dazu eingerichtet ist, anhand der von der Sensoranordnung (5) ermittelten Eisdicke die Heizzonen (Z1, Z2, Z3) individuell zu aktivieren und zu deaktivieren."</w:t>
      </w:r>
    </w:p>
    <w:p>
      <w:pPr>
        <w:pStyle w:val="Heading3"/>
      </w:pPr>
      <w:r>
        <w:rPr>
          <w:rFonts w:ascii="Times New Roman" w:hAnsi="Times New Roman"/>
        </w:rPr>
        <w:t>Merkmalsgliederung Anspruch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Wortlaut (Kurzform)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Oberbegriff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Elektrothermisches Heizsystem für Rotorblätter einer WKA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Heizzonen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Mind. 3 Zonen entlang Längsachse, unterschiedliche Heizleistungsdichten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Heizelemente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Kohlenstoffbasiertes Widerstandsmaterial, in Schichtstruktur integriert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Sensor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Kapazitive Sensoranordnung zur Eisdicken-Messung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Energieübertragung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Kontaktlos, stationär → rotierend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Steuereinheit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Aktivierung/Deaktivierung der Zonen anhand Sensorwerte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Interpretation der Merkmale</w:t>
      </w:r>
    </w:p>
    <w:p>
      <w:pPr>
        <w:jc w:val="left"/>
      </w:pPr>
      <w:r>
        <w:rPr>
          <w:b/>
        </w:rPr>
        <w:t>M2 (Heizzonen)</w:t>
      </w:r>
      <w:r>
        <w:t>: „Mindestens drei" schließt 4, 5 oder mehr ein. IceFree v3 hat 4 Zonen (A–D) — erfüllt. „Unterschiedliche maximal abrufbare Heizleistungsdichten" bedeutet, dass die Zonen verschiedene Nennleistungen aufweisen (nicht notwendigerweise gleichzeitig verschieden betrieben). IceFree v3: Zone A 8 kW/m, B 6 kW/m, C 3 kW/m — erfüllt.</w:t>
      </w:r>
    </w:p>
    <w:p>
      <w:pPr>
        <w:jc w:val="left"/>
      </w:pPr>
      <w:r>
        <w:rPr>
          <w:b/>
        </w:rPr>
        <w:t>M3 (Heizelemente)</w:t>
      </w:r>
      <w:r>
        <w:t>: „Kohlenstoffbasiertes Widerstandsmaterial" — Kohlefaservlies von IceFree v3 ist eindeutig kohlenstoffbasiert. „In die Schichtstruktur des Rotorblatts integriert" — IceFree v3: Lamination in Epoxydharz-Matrix — erfüllt. Entscheidende Frage: Fällt Kohlefaservlies unter „kohlenstoffbasiertes Widerstandsmaterial"? Nach Beschreibung Abs. [0042]: „Vorzugsweise wird als kohlenstoffbasiertes Widerstandsmaterial ein Kohlenstofffaservlies oder ein Kohlenstofffasergewebe verwendet." → Kohlefaservlies ist bevorzugte Ausführungsform — M3 durch IceFree v3 verwirklicht.</w:t>
      </w:r>
    </w:p>
    <w:p>
      <w:pPr>
        <w:jc w:val="left"/>
      </w:pPr>
      <w:r>
        <w:rPr>
          <w:b/>
        </w:rPr>
        <w:t>M4 (Sensor)</w:t>
      </w:r>
      <w:r>
        <w:t>: „Kapazitive Sensoranordnung zur Messung der Eisdicke" — IceFree v3 hat kapazitive Eisdickensensoren (3 pro Zone). Merkmal wörtlich erfüllt.</w:t>
      </w:r>
    </w:p>
    <w:p>
      <w:pPr>
        <w:jc w:val="left"/>
      </w:pPr>
      <w:r>
        <w:rPr>
          <w:b/>
        </w:rPr>
        <w:t>M5 (Energieübertragung)</w:t>
      </w:r>
      <w:r>
        <w:t>: „Kontaktlos" — IceFree v3 verwendet induktive Kopplung. Beschreibung EP 3 218 922 Abs. [0065]: Bevorzugte Ausführungsform ist induktive Kopplung. Wortlaut „kontaktlos" ist weiter als „induktiv" — auch andere kontaktlose Methoden wären erfasst. IceFree v3 erfüllt M5 wörtlich.</w:t>
      </w:r>
    </w:p>
    <w:p>
      <w:pPr>
        <w:jc w:val="left"/>
      </w:pPr>
      <w:r>
        <w:rPr>
          <w:b/>
        </w:rPr>
        <w:t>M6 (Steuereinheit)</w:t>
      </w:r>
      <w:r>
        <w:t>: „Aktivierung und Deaktivierung der Zonen anhand Sensorwerte" — Edge-Computing-Box von IceFree v3 macht genau das. Merkmal erfüllt.</w:t>
      </w:r>
    </w:p>
    <w:p>
      <w:pPr>
        <w:pStyle w:val="Heading2"/>
      </w:pPr>
      <w:r>
        <w:rPr>
          <w:rFonts w:ascii="Times New Roman" w:hAnsi="Times New Roman"/>
        </w:rPr>
        <w:t>3. Anspruch 13 — Merkmalsanalyse (Verfahrensanspruch)</w:t>
      </w:r>
    </w:p>
    <w:p>
      <w:pPr>
        <w:jc w:val="left"/>
      </w:pPr>
      <w:r>
        <w:t>Wortlaut Anspruch 13 (vereinfacht):</w:t>
      </w:r>
    </w:p>
    <w:p>
      <w:pPr>
        <w:ind w:left="567"/>
      </w:pPr>
      <w:r>
        <w:rPr>
          <w:i/>
        </w:rPr>
        <w:t>„Verfahren zur Beheizung von Rotorblättern einer Windkraftanlage mittels eines elektrothermischen Heizsystems, umfassend die Schritte:</w:t>
      </w:r>
    </w:p>
    <w:p>
      <w:pPr>
        <w:ind w:left="567"/>
      </w:pPr>
      <w:r>
        <w:rPr>
          <w:i/>
        </w:rPr>
        <w:t>(i) Messen der Eisdicke an der Rotorblattoberfläche mittels kapazitiver Sensoren;</w:t>
      </w:r>
    </w:p>
    <w:p>
      <w:pPr>
        <w:ind w:left="567"/>
      </w:pPr>
      <w:r>
        <w:rPr>
          <w:i/>
        </w:rPr>
        <w:t>(ii) Bestimmen eines zonenspezifischen Aktivierungssignals für mindestens 3 Heizzonen anhand der gemessenen Eisdicke;</w:t>
      </w:r>
    </w:p>
    <w:p>
      <w:pPr>
        <w:ind w:left="567"/>
      </w:pPr>
      <w:r>
        <w:rPr>
          <w:i/>
        </w:rPr>
        <w:t>(iii) Kontaktloses Übertragen elektrischer Energie von stationär auf rotierend;</w:t>
      </w:r>
    </w:p>
    <w:p>
      <w:pPr>
        <w:ind w:left="567"/>
      </w:pPr>
      <w:r>
        <w:rPr>
          <w:i/>
        </w:rPr>
        <w:t>(iv) Aktivieren der ermittelten Heizzonen."</w:t>
      </w:r>
    </w:p>
    <w:p>
      <w:pPr>
        <w:jc w:val="left"/>
      </w:pPr>
      <w:r>
        <w:t>IceFree v3 führt alle 4 Verfahrensschritte aus. Eine Verletzung von Anspruch 13 ist wahrscheinlich, wenn das System in Betrieb genommen wird (§ 9 Nr. 1 PatG: „Benutzen").</w:t>
      </w:r>
    </w:p>
    <w:p>
      <w:pPr>
        <w:pStyle w:val="Heading2"/>
      </w:pPr>
      <w:r>
        <w:rPr>
          <w:rFonts w:ascii="Times New Roman" w:hAnsi="Times New Roman"/>
        </w:rPr>
        <w:t>4. Anspruch 21 — Computerprogrammanspruch</w:t>
      </w:r>
    </w:p>
    <w:p>
      <w:pPr>
        <w:jc w:val="left"/>
      </w:pPr>
      <w:r>
        <w:t>Anspruch 21 schützt ein Computerprogrammprodukt, das bei Ausführung auf einem Prozessor das Verfahren nach Anspruch 13 durchführt. Die Software-Steuerungslogik von IceFree v3 würde bei Ausführung auf der Edge-Computing-Box des Systems die Schritte i–iv ausführen. → Anspruch 21 verletzt, wenn das Programm in Deutschland vertrieben oder angeboten wird.</w:t>
      </w:r>
    </w:p>
    <w:p>
      <w:pPr>
        <w:pStyle w:val="Heading2"/>
      </w:pPr>
      <w:r>
        <w:rPr>
          <w:rFonts w:ascii="Times New Roman" w:hAnsi="Times New Roman"/>
        </w:rPr>
        <w:t>5. Gesamtergebnis Anspruchsanalyse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IceFree v3 verwirklicht?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Verletzungsmodus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Vorrichtung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— alle 6 Merkmale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Herstellung, Anbieten, Inverkehrbringen, § 9 Nr. 1 PatG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— alle 4 Schritte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Benutzen, § 9 Nr. 3 PatG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Anbieten der Software, § 9 Nr. 1 PatG analog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2–12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Teils ja (M2–M7)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eigenständige Verletzung nötig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14–20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Teils 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Benutzen mit erweiterten Merkmalen</w:t>
            </w:r>
          </w:p>
        </w:tc>
      </w:tr>
    </w:tbl>
    <w:p>
      <w:pPr>
        <w:jc w:val="left"/>
      </w:pPr>
      <w:r>
        <w:t xml:space="preserve">Ergebnis: FTO-Status </w:t>
      </w:r>
      <w:r>
        <w:rPr>
          <w:b/>
        </w:rPr>
        <w:t>ROT</w:t>
      </w:r>
      <w:r>
        <w:t xml:space="preserve"> für alle drei unabhängigen Ansprüche.</w:t>
      </w:r>
    </w:p>
    <w:p>
      <w:pPr>
        <w:jc w:val="left"/>
      </w:pPr>
      <w:r>
        <w:t>Quellen: dejure.org — § 9 PatG | dejure.org — § 14 PatG | EPO — Protokoll Art. 69 EPÜ | BGH X ZR 156/12 Äquivalenz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