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— Merkmalsvergleich: Windsysteme IceFree v3 vs. Vellbruck EP 3 218 922 B1</w:t>
      </w:r>
    </w:p>
    <w:p>
      <w:pPr>
        <w:jc w:val="left"/>
      </w:pPr>
      <w:r>
        <w:t>AZ: SE-2026-FTO-0717 | Bearb.: Dr. Stadter-Birkenhain | Stand: 20.02.2026</w:t>
      </w:r>
    </w:p>
    <w:p/>
    <w:p>
      <w:pPr>
        <w:pStyle w:val="Heading2"/>
      </w:pPr>
      <w:r>
        <w:rPr>
          <w:rFonts w:ascii="Times New Roman" w:hAnsi="Times New Roman"/>
        </w:rPr>
        <w:t>1. Einleitung und Methodik</w:t>
      </w:r>
    </w:p>
    <w:p>
      <w:pPr>
        <w:jc w:val="left"/>
      </w:pPr>
      <w:r>
        <w:t>Der vorliegende Merkmalsvergleich stellt die Ausführungsform IceFree v3 des Mandanten (Windsysteme Norderhof AG) den Merkmalen der unabhängigen Ansprüche 1 und 13 des EP 3 218 922 B1 (Vellbruck Energietechnik GmbH) gegenüber. Die Prüfung umfasst:</w:t>
      </w:r>
    </w:p>
    <w:p>
      <w:pPr>
        <w:pStyle w:val="ListBullet"/>
      </w:pPr>
      <w:r>
        <w:t>Identität: wörtliche Verwirklichung jedes Merkmals.</w:t>
      </w:r>
    </w:p>
    <w:p>
      <w:pPr>
        <w:pStyle w:val="ListBullet"/>
      </w:pPr>
      <w:r>
        <w:t>Äquivalenz: Verwirklichung mit abgewandeltem Mittel, das die gleiche Wirkung mit dem gleichen Gedankengang erzielt (BGH X ZR 156/12 — Dreifrage-Test).</w:t>
      </w:r>
    </w:p>
    <w:p>
      <w:pPr>
        <w:pStyle w:val="ListBullet"/>
      </w:pPr>
      <w:r>
        <w:t>Vorveröffentlichung: Ob das Merkmal bereits im Stand der Technik vor dem Prioritätstag 22.06.2017 bekannt war (Relevanz für Nichtigkeitsklage).</w:t>
      </w:r>
    </w:p>
    <w:p>
      <w:pPr>
        <w:pStyle w:val="Heading2"/>
      </w:pPr>
      <w:r>
        <w:rPr>
          <w:rFonts w:ascii="Times New Roman" w:hAnsi="Times New Roman"/>
        </w:rPr>
        <w:t>2. Merkmalsvergleich Anspruch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Merkmal Anspruch 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IceFree v3 Ausführung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Identität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Äquivalenz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Elektrothermisches Heizsystem für Rotorblätter einer WKA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Elektrothermisches Rotorblatt-Enteisungssystem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Oberbegriff identisch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Mind. 3 Heizzonen entlang Längsachse, unterschiedliche Leistungsdichten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 Zonen (A–D), Leistung 8/6/3/0 kW/m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 &gt; 3, Merkmal vollständig erfüllt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Kohlenstoffbasiertes Widerstandsmaterial, in Schichtstruktur integriert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Kohlefaservlies, VARTM-laminiert in Epoxydharz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Kohlefaservlies = kohlenstoffbasiert lt. EP-Beschreibung Abs. [0042]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Kapazitive Sensoranordnung zur Eisdicken-Messung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Kapazitive Sensoren (3/Zone), Messbereich 0–30 mm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Wörtlich identisch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Kontaktlose Übertragung stationär → rotierend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Induktive Kopplung (induktiver Übertrager)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Induktiv = kontaktlos, bevorzugte Ausf. im Patent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Steuereinheit: zonale Aktivierung/Deaktivierung anhand Sensorwerte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Edge-Computing-Box mit Zonen-Relais-Steuerung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Wörtlich identisch</w:t>
            </w:r>
          </w:p>
        </w:tc>
      </w:tr>
    </w:tbl>
    <w:p>
      <w:pPr>
        <w:jc w:val="left"/>
      </w:pPr>
      <w:r>
        <w:rPr>
          <w:b/>
        </w:rPr>
        <w:t>Ergebnis Anspruch 1: Alle 6 Merkmale wörtlich verwirklicht. Verletzung wahrscheinlich.</w:t>
      </w:r>
    </w:p>
    <w:p>
      <w:pPr>
        <w:pStyle w:val="Heading2"/>
      </w:pPr>
      <w:r>
        <w:rPr>
          <w:rFonts w:ascii="Times New Roman" w:hAnsi="Times New Roman"/>
        </w:rPr>
        <w:t>3. Merkmalsvergleich Anspruch 13 (Verfahren)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Merkmal Anspruch 13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IceFree v3 Betriebsweise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Identität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Äquivalenz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Messen der Eisdicke mittels kapazitiver Sensoren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Kapazitive Messung 3×/Zone in Echtzeit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Bestimmen zonenspezifischen Aktivierungssignals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Edge-AI: Eisbildungs-Score → Zonenentscheidung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Kontaktlose Energieübertragung stationär → rotierend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Induktiver Übertrager, 50 Hz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Aktivieren ermittelter Heizzonen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Zonenrelais aktivieren Heizmatten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jc w:val="left"/>
      </w:pPr>
      <w:r>
        <w:rPr>
          <w:b/>
        </w:rPr>
        <w:t>Ergebnis Anspruch 13: Alle 4 Verfahrensschritte verwirklicht. Verletzung des Verfahrensanspruchs wahrscheinlich.</w:t>
      </w:r>
    </w:p>
    <w:p>
      <w:pPr>
        <w:pStyle w:val="Heading2"/>
      </w:pPr>
      <w:r>
        <w:rPr>
          <w:rFonts w:ascii="Times New Roman" w:hAnsi="Times New Roman"/>
        </w:rPr>
        <w:t>4. Mögliche Unterschiede und Gegenargumente</w:t>
      </w:r>
    </w:p>
    <w:p>
      <w:pPr>
        <w:jc w:val="left"/>
      </w:pPr>
      <w:r>
        <w:t>Die folgende Tabelle zeigt Argumente, die der Mandant möglicherweise zur Verteidigung (design-around oder Nichtverletzungsargument) vorbringen könnte, sowie deren vorläufige Bewertung: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Argument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IceFree v3 hat 4 Zonen, Anspruch nennt „mind. 3"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 Unterschied — „mind. 3" schließt 4 ein. Kein Differenzierungsargument.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Induktive Kopplung ist spezifischer als „kontaktlos"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 — „kontaktlos" ist der Oberbegriff; induktiv ist eine Form. Keine Einschränkung.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ML-Algorithmus in Steuereinheit ist nicht in Anspruch 1 enthalten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Richtig — ML ist nur in Anspruch 14 (abhängig). Kein Differenzierungsargument für Anspruch 1.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Zonen-Heizleistung in IceFree v3 dynamisch (nicht nur statisch unterschiedlich)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Anspruch spricht von „maximal abrufbaren Heizleistungsdichten" — statische Maximalwerte. Dynamischer Betrieb ist Untermenge. Kein Differenzierungsargument.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Zone D (Blattwurzel) nicht beheizt → IceFree v3 hat effektiv 3 aktive Zonen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Zone D ist konstruktiv vorhanden aber inaktiv. Anspruch sagt „mindestens 3 Heizzonen" — ob aktiv oder potentiell aktiv, ist nicht spezifiziert. Schwaches Argument.</w:t>
            </w:r>
          </w:p>
        </w:tc>
      </w:tr>
    </w:tbl>
    <w:p>
      <w:pPr>
        <w:jc w:val="left"/>
      </w:pPr>
      <w:r>
        <w:t>Vorläufige Einschätzung: Kein valides Nichtverletzungsargument auf Basis reiner Wortlautanalyse erkennbar. Hauptansatz muss Nichtigkeitsklage oder Lizenz sein.</w:t>
      </w:r>
    </w:p>
    <w:p>
      <w:pPr>
        <w:pStyle w:val="Heading2"/>
      </w:pPr>
      <w:r>
        <w:rPr>
          <w:rFonts w:ascii="Times New Roman" w:hAnsi="Times New Roman"/>
        </w:rPr>
        <w:t>5. Identifizierte Redesign-Ansätze (vorläufig)</w:t>
      </w:r>
    </w:p>
    <w:p>
      <w:pPr>
        <w:jc w:val="left"/>
      </w:pPr>
      <w:r>
        <w:t>Für eine mögliche Design-Around-Strategie (Aktenstück 17) wurden folgende technische Eingriffspunkte identifiziert:</w:t>
      </w:r>
    </w:p>
    <w:p>
      <w:pPr>
        <w:pStyle w:val="ListBullet"/>
      </w:pPr>
      <w:r>
        <w:rPr>
          <w:b/>
        </w:rPr>
        <w:t>Sensor-Substitution</w:t>
      </w:r>
      <w:r>
        <w:t>: Ersatz kapazitive Sensor durch optische Eisdetektion (Lidar oder Infrarot-Kamera) würde M4 nicht mehr erfüllen. Technisch möglich, aber erhöhter Aufwand und höhere Kosten.</w:t>
      </w:r>
    </w:p>
    <w:p>
      <w:pPr>
        <w:pStyle w:val="ListBullet"/>
      </w:pPr>
      <w:r>
        <w:rPr>
          <w:b/>
        </w:rPr>
        <w:t>Energieübertragung Schleifring</w:t>
      </w:r>
      <w:r>
        <w:t>: Rückkehr zu Schleifring-Bürsten-System (wie IceFree v1/v2) würde M5 potenziell nicht unter Anspruch 1 fallen lassen — aber: Anspruch 8 der Vellbruck schützt auch Schleifring als Alternative. Kein FTO-Gewinn.</w:t>
      </w:r>
    </w:p>
    <w:p>
      <w:pPr>
        <w:pStyle w:val="ListBullet"/>
      </w:pPr>
      <w:r>
        <w:rPr>
          <w:b/>
        </w:rPr>
        <w:t>Material-Substitution</w:t>
      </w:r>
      <w:r>
        <w:t>: Verwendung von nicht-kohlenstoffbasiertem Widerstandsmaterial (z.B. Metallfolie-Heizer). Würde M3 nicht erfüllen. Technisch rückschrittlich, aufwändig.</w:t>
      </w:r>
    </w:p>
    <w:p>
      <w:pPr>
        <w:pStyle w:val="Heading2"/>
      </w:pPr>
      <w:r>
        <w:rPr>
          <w:rFonts w:ascii="Times New Roman" w:hAnsi="Times New Roman"/>
        </w:rPr>
        <w:t>6. Fazit</w:t>
      </w:r>
    </w:p>
    <w:p>
      <w:pPr>
        <w:jc w:val="left"/>
      </w:pPr>
      <w:r>
        <w:t>Auf Basis der Merkmalsanalyse ist eine direkte Verletzung von Anspruch 1 und Anspruch 13 des EP 3 218 922 B1 durch IceFree v3 bei Herstellung, Anbieten, Inverkehrbringen oder Benutzen in den Validierungsstaaten (insb. DE) wahrscheinlich. Die Äquivalenzprüfung (Aktenstück 12) wird diese Analyse ergänzen.</w:t>
      </w:r>
    </w:p>
    <w:p>
      <w:pPr>
        <w:jc w:val="left"/>
      </w:pPr>
      <w:r>
        <w:t>Quellen: dejure.org — § 9 PatG | BGH X ZR 156/12 | EPO — Art. 69 EPÜ Protokoll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