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13 — Stand der Technik: Vorveröffentlichungen vor Prioritätstag 22.06.2017</w:t>
      </w:r>
    </w:p>
    <w:p>
      <w:pPr>
        <w:jc w:val="left"/>
      </w:pPr>
      <w:r>
        <w:t>AZ: SE-2026-FTO-0717 | Bearb.: Klose / Dr. Eppendorfer | Stand: 28.02.2026</w:t>
      </w:r>
    </w:p>
    <w:p/>
    <w:p>
      <w:pPr>
        <w:pStyle w:val="Heading2"/>
      </w:pPr>
      <w:r>
        <w:rPr>
          <w:rFonts w:ascii="Times New Roman" w:hAnsi="Times New Roman"/>
        </w:rPr>
        <w:t>1. Zweck und Methodik Nichtigkeitsrecherche</w:t>
      </w:r>
    </w:p>
    <w:p>
      <w:pPr>
        <w:jc w:val="left"/>
      </w:pPr>
      <w:r>
        <w:t>Die Nichtigkeitsrecherche zielt auf die Identifikation von Stand-der-Technik-Dokumenten, die vor dem Prioritätstag des EP 3 218 922 B1 (22.06.2017) veröffentlicht wurden und geeignet sind, die Neuheit oder erfinderische Tätigkeit dieses Patents in einem Nichtigkeitsverfahren vor dem BPatG (§ 22 PatG, Art. 138 EPÜ) oder in einem EPO-Einspruchsverfahren zu erschüttern.</w:t>
      </w:r>
    </w:p>
    <w:p>
      <w:pPr>
        <w:jc w:val="left"/>
      </w:pPr>
      <w:r>
        <w:t>Suchzeitraum für Vorveröffentlichungen: 1. Januar 2000 bis 21. Juni 2017.</w:t>
      </w:r>
    </w:p>
    <w:p>
      <w:pPr>
        <w:jc w:val="left"/>
      </w:pPr>
      <w:r>
        <w:t>Datenbanken: DEPATISnet, Espacenet, Google Scholar, IEEE Xplore, DPMA, WPI (Derwent World Patents Index).</w:t>
      </w:r>
    </w:p>
    <w:p>
      <w:pPr>
        <w:pStyle w:val="Heading2"/>
      </w:pPr>
      <w:r>
        <w:rPr>
          <w:rFonts w:ascii="Times New Roman" w:hAnsi="Times New Roman"/>
        </w:rPr>
        <w:t>2. Identifizierte Vorveröffentlichungen — Tabellarische Übersicht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Nr</w:t>
            </w:r>
          </w:p>
        </w:tc>
        <w:tc>
          <w:tcPr>
            <w:tcW w:type="dxa" w:w="1814"/>
          </w:tcPr>
          <w:p>
            <w:r>
              <w:rPr>
                <w:rFonts w:ascii="Times New Roman" w:hAnsi="Times New Roman"/>
                <w:b/>
                <w:sz w:val="20"/>
              </w:rPr>
              <w:t>Dokument</w:t>
            </w:r>
          </w:p>
        </w:tc>
        <w:tc>
          <w:tcPr>
            <w:tcW w:type="dxa" w:w="1814"/>
          </w:tcPr>
          <w:p>
            <w:r>
              <w:rPr>
                <w:rFonts w:ascii="Times New Roman" w:hAnsi="Times New Roman"/>
                <w:b/>
                <w:sz w:val="20"/>
              </w:rPr>
              <w:t>Autor/Anmelder</w:t>
            </w:r>
          </w:p>
        </w:tc>
        <w:tc>
          <w:tcPr>
            <w:tcW w:type="dxa" w:w="1814"/>
          </w:tcPr>
          <w:p>
            <w:r>
              <w:rPr>
                <w:rFonts w:ascii="Times New Roman" w:hAnsi="Times New Roman"/>
                <w:b/>
                <w:sz w:val="20"/>
              </w:rPr>
              <w:t>Veröff.-Datum</w:t>
            </w:r>
          </w:p>
        </w:tc>
        <w:tc>
          <w:tcPr>
            <w:tcW w:type="dxa" w:w="1814"/>
          </w:tcPr>
          <w:p>
            <w:r>
              <w:rPr>
                <w:rFonts w:ascii="Times New Roman" w:hAnsi="Times New Roman"/>
                <w:b/>
                <w:sz w:val="20"/>
              </w:rPr>
              <w:t>Relevanz für Anspruch</w:t>
            </w:r>
          </w:p>
        </w:tc>
      </w:tr>
      <w:tr>
        <w:tc>
          <w:tcPr>
            <w:tcW w:type="dxa" w:w="1814"/>
          </w:tcPr>
          <w:p>
            <w:r>
              <w:rPr>
                <w:rFonts w:ascii="Times New Roman" w:hAnsi="Times New Roman"/>
                <w:sz w:val="20"/>
              </w:rPr>
              <w:t>D1</w:t>
            </w:r>
          </w:p>
        </w:tc>
        <w:tc>
          <w:tcPr>
            <w:tcW w:type="dxa" w:w="1814"/>
          </w:tcPr>
          <w:p>
            <w:r>
              <w:rPr>
                <w:rFonts w:ascii="Times New Roman" w:hAnsi="Times New Roman"/>
                <w:sz w:val="20"/>
              </w:rPr>
              <w:t>EP 2 462 344 A1 (Vestas)</w:t>
            </w:r>
          </w:p>
        </w:tc>
        <w:tc>
          <w:tcPr>
            <w:tcW w:type="dxa" w:w="1814"/>
          </w:tcPr>
          <w:p>
            <w:r>
              <w:rPr>
                <w:rFonts w:ascii="Times New Roman" w:hAnsi="Times New Roman"/>
                <w:sz w:val="20"/>
              </w:rPr>
              <w:t>Vestas Wind Systems A/S</w:t>
            </w:r>
          </w:p>
        </w:tc>
        <w:tc>
          <w:tcPr>
            <w:tcW w:type="dxa" w:w="1814"/>
          </w:tcPr>
          <w:p>
            <w:r>
              <w:rPr>
                <w:rFonts w:ascii="Times New Roman" w:hAnsi="Times New Roman"/>
                <w:sz w:val="20"/>
              </w:rPr>
              <w:t>13.06.2012</w:t>
            </w:r>
          </w:p>
        </w:tc>
        <w:tc>
          <w:tcPr>
            <w:tcW w:type="dxa" w:w="1814"/>
          </w:tcPr>
          <w:p>
            <w:r>
              <w:rPr>
                <w:rFonts w:ascii="Times New Roman" w:hAnsi="Times New Roman"/>
                <w:sz w:val="20"/>
              </w:rPr>
              <w:t>M1, M2, M5 (kein Kohlenstoff)</w:t>
            </w:r>
          </w:p>
        </w:tc>
      </w:tr>
      <w:tr>
        <w:tc>
          <w:tcPr>
            <w:tcW w:type="dxa" w:w="1814"/>
          </w:tcPr>
          <w:p>
            <w:r>
              <w:rPr>
                <w:rFonts w:ascii="Times New Roman" w:hAnsi="Times New Roman"/>
                <w:sz w:val="20"/>
              </w:rPr>
              <w:t>D2</w:t>
            </w:r>
          </w:p>
        </w:tc>
        <w:tc>
          <w:tcPr>
            <w:tcW w:type="dxa" w:w="1814"/>
          </w:tcPr>
          <w:p>
            <w:r>
              <w:rPr>
                <w:rFonts w:ascii="Times New Roman" w:hAnsi="Times New Roman"/>
                <w:sz w:val="20"/>
              </w:rPr>
              <w:t>US 2013/0299997 A1 (Nordex)</w:t>
            </w:r>
          </w:p>
        </w:tc>
        <w:tc>
          <w:tcPr>
            <w:tcW w:type="dxa" w:w="1814"/>
          </w:tcPr>
          <w:p>
            <w:r>
              <w:rPr>
                <w:rFonts w:ascii="Times New Roman" w:hAnsi="Times New Roman"/>
                <w:sz w:val="20"/>
              </w:rPr>
              <w:t>Nordex SE</w:t>
            </w:r>
          </w:p>
        </w:tc>
        <w:tc>
          <w:tcPr>
            <w:tcW w:type="dxa" w:w="1814"/>
          </w:tcPr>
          <w:p>
            <w:r>
              <w:rPr>
                <w:rFonts w:ascii="Times New Roman" w:hAnsi="Times New Roman"/>
                <w:sz w:val="20"/>
              </w:rPr>
              <w:t>14.11.2013</w:t>
            </w:r>
          </w:p>
        </w:tc>
        <w:tc>
          <w:tcPr>
            <w:tcW w:type="dxa" w:w="1814"/>
          </w:tcPr>
          <w:p>
            <w:r>
              <w:rPr>
                <w:rFonts w:ascii="Times New Roman" w:hAnsi="Times New Roman"/>
                <w:sz w:val="20"/>
              </w:rPr>
              <w:t>M1, M2 (Metallfolie)</w:t>
            </w:r>
          </w:p>
        </w:tc>
      </w:tr>
      <w:tr>
        <w:tc>
          <w:tcPr>
            <w:tcW w:type="dxa" w:w="1814"/>
          </w:tcPr>
          <w:p>
            <w:r>
              <w:rPr>
                <w:rFonts w:ascii="Times New Roman" w:hAnsi="Times New Roman"/>
                <w:sz w:val="20"/>
              </w:rPr>
              <w:t>D3</w:t>
            </w:r>
          </w:p>
        </w:tc>
        <w:tc>
          <w:tcPr>
            <w:tcW w:type="dxa" w:w="1814"/>
          </w:tcPr>
          <w:p>
            <w:r>
              <w:rPr>
                <w:rFonts w:ascii="Times New Roman" w:hAnsi="Times New Roman"/>
                <w:sz w:val="20"/>
              </w:rPr>
              <w:t>WO 2014/044280 A1 (Gamesa)</w:t>
            </w:r>
          </w:p>
        </w:tc>
        <w:tc>
          <w:tcPr>
            <w:tcW w:type="dxa" w:w="1814"/>
          </w:tcPr>
          <w:p>
            <w:r>
              <w:rPr>
                <w:rFonts w:ascii="Times New Roman" w:hAnsi="Times New Roman"/>
                <w:sz w:val="20"/>
              </w:rPr>
              <w:t>Gamesa Innovation &amp; Technology</w:t>
            </w:r>
          </w:p>
        </w:tc>
        <w:tc>
          <w:tcPr>
            <w:tcW w:type="dxa" w:w="1814"/>
          </w:tcPr>
          <w:p>
            <w:r>
              <w:rPr>
                <w:rFonts w:ascii="Times New Roman" w:hAnsi="Times New Roman"/>
                <w:sz w:val="20"/>
              </w:rPr>
              <w:t>27.03.2014</w:t>
            </w:r>
          </w:p>
        </w:tc>
        <w:tc>
          <w:tcPr>
            <w:tcW w:type="dxa" w:w="1814"/>
          </w:tcPr>
          <w:p>
            <w:r>
              <w:rPr>
                <w:rFonts w:ascii="Times New Roman" w:hAnsi="Times New Roman"/>
                <w:sz w:val="20"/>
              </w:rPr>
              <w:t>M1, M3 (Kohlenstoff erwähnt)</w:t>
            </w:r>
          </w:p>
        </w:tc>
      </w:tr>
      <w:tr>
        <w:tc>
          <w:tcPr>
            <w:tcW w:type="dxa" w:w="1814"/>
          </w:tcPr>
          <w:p>
            <w:r>
              <w:rPr>
                <w:rFonts w:ascii="Times New Roman" w:hAnsi="Times New Roman"/>
                <w:sz w:val="20"/>
              </w:rPr>
              <w:t>D4</w:t>
            </w:r>
          </w:p>
        </w:tc>
        <w:tc>
          <w:tcPr>
            <w:tcW w:type="dxa" w:w="1814"/>
          </w:tcPr>
          <w:p>
            <w:r>
              <w:rPr>
                <w:rFonts w:ascii="Times New Roman" w:hAnsi="Times New Roman"/>
                <w:sz w:val="20"/>
              </w:rPr>
              <w:t>CN 106 121 921 A (CSIC)</w:t>
            </w:r>
          </w:p>
        </w:tc>
        <w:tc>
          <w:tcPr>
            <w:tcW w:type="dxa" w:w="1814"/>
          </w:tcPr>
          <w:p>
            <w:r>
              <w:rPr>
                <w:rFonts w:ascii="Times New Roman" w:hAnsi="Times New Roman"/>
                <w:sz w:val="20"/>
              </w:rPr>
              <w:t>China Shipbuilding Industry Corp.</w:t>
            </w:r>
          </w:p>
        </w:tc>
        <w:tc>
          <w:tcPr>
            <w:tcW w:type="dxa" w:w="1814"/>
          </w:tcPr>
          <w:p>
            <w:r>
              <w:rPr>
                <w:rFonts w:ascii="Times New Roman" w:hAnsi="Times New Roman"/>
                <w:sz w:val="20"/>
              </w:rPr>
              <w:t>16.11.2016</w:t>
            </w:r>
          </w:p>
        </w:tc>
        <w:tc>
          <w:tcPr>
            <w:tcW w:type="dxa" w:w="1814"/>
          </w:tcPr>
          <w:p>
            <w:r>
              <w:rPr>
                <w:rFonts w:ascii="Times New Roman" w:hAnsi="Times New Roman"/>
                <w:sz w:val="20"/>
              </w:rPr>
              <w:t>M1–M3, M6</w:t>
            </w:r>
          </w:p>
        </w:tc>
      </w:tr>
      <w:tr>
        <w:tc>
          <w:tcPr>
            <w:tcW w:type="dxa" w:w="1814"/>
          </w:tcPr>
          <w:p>
            <w:r>
              <w:rPr>
                <w:rFonts w:ascii="Times New Roman" w:hAnsi="Times New Roman"/>
                <w:sz w:val="20"/>
              </w:rPr>
              <w:t>D5</w:t>
            </w:r>
          </w:p>
        </w:tc>
        <w:tc>
          <w:tcPr>
            <w:tcW w:type="dxa" w:w="1814"/>
          </w:tcPr>
          <w:p>
            <w:r>
              <w:rPr>
                <w:rFonts w:ascii="Times New Roman" w:hAnsi="Times New Roman"/>
                <w:sz w:val="20"/>
              </w:rPr>
              <w:t>DE 10 2014 223 614 A1 (Nordex)</w:t>
            </w:r>
          </w:p>
        </w:tc>
        <w:tc>
          <w:tcPr>
            <w:tcW w:type="dxa" w:w="1814"/>
          </w:tcPr>
          <w:p>
            <w:r>
              <w:rPr>
                <w:rFonts w:ascii="Times New Roman" w:hAnsi="Times New Roman"/>
                <w:sz w:val="20"/>
              </w:rPr>
              <w:t>Nordex Energy GmbH</w:t>
            </w:r>
          </w:p>
        </w:tc>
        <w:tc>
          <w:tcPr>
            <w:tcW w:type="dxa" w:w="1814"/>
          </w:tcPr>
          <w:p>
            <w:r>
              <w:rPr>
                <w:rFonts w:ascii="Times New Roman" w:hAnsi="Times New Roman"/>
                <w:sz w:val="20"/>
              </w:rPr>
              <w:t>14.05.2015</w:t>
            </w:r>
          </w:p>
        </w:tc>
        <w:tc>
          <w:tcPr>
            <w:tcW w:type="dxa" w:w="1814"/>
          </w:tcPr>
          <w:p>
            <w:r>
              <w:rPr>
                <w:rFonts w:ascii="Times New Roman" w:hAnsi="Times New Roman"/>
                <w:sz w:val="20"/>
              </w:rPr>
              <w:t>M1, M2, M3 (GFK, nicht CFK)</w:t>
            </w:r>
          </w:p>
        </w:tc>
      </w:tr>
      <w:tr>
        <w:tc>
          <w:tcPr>
            <w:tcW w:type="dxa" w:w="1814"/>
          </w:tcPr>
          <w:p>
            <w:r>
              <w:rPr>
                <w:rFonts w:ascii="Times New Roman" w:hAnsi="Times New Roman"/>
                <w:sz w:val="20"/>
              </w:rPr>
              <w:t>D6</w:t>
            </w:r>
          </w:p>
        </w:tc>
        <w:tc>
          <w:tcPr>
            <w:tcW w:type="dxa" w:w="1814"/>
          </w:tcPr>
          <w:p>
            <w:r>
              <w:rPr>
                <w:rFonts w:ascii="Times New Roman" w:hAnsi="Times New Roman"/>
                <w:sz w:val="20"/>
              </w:rPr>
              <w:t>Fachartikel: Fakorede et al. (2016)</w:t>
            </w:r>
          </w:p>
        </w:tc>
        <w:tc>
          <w:tcPr>
            <w:tcW w:type="dxa" w:w="1814"/>
          </w:tcPr>
          <w:p>
            <w:r>
              <w:rPr>
                <w:rFonts w:ascii="Times New Roman" w:hAnsi="Times New Roman"/>
                <w:sz w:val="20"/>
              </w:rPr>
              <w:t>Int. J. Sustainable Energy</w:t>
            </w:r>
          </w:p>
        </w:tc>
        <w:tc>
          <w:tcPr>
            <w:tcW w:type="dxa" w:w="1814"/>
          </w:tcPr>
          <w:p>
            <w:r>
              <w:rPr>
                <w:rFonts w:ascii="Times New Roman" w:hAnsi="Times New Roman"/>
                <w:sz w:val="20"/>
              </w:rPr>
              <w:t>01.03.2016</w:t>
            </w:r>
          </w:p>
        </w:tc>
        <w:tc>
          <w:tcPr>
            <w:tcW w:type="dxa" w:w="1814"/>
          </w:tcPr>
          <w:p>
            <w:r>
              <w:rPr>
                <w:rFonts w:ascii="Times New Roman" w:hAnsi="Times New Roman"/>
                <w:sz w:val="20"/>
              </w:rPr>
              <w:t>M4 (kapazitive Sensorik Literatur)</w:t>
            </w:r>
          </w:p>
        </w:tc>
      </w:tr>
      <w:tr>
        <w:tc>
          <w:tcPr>
            <w:tcW w:type="dxa" w:w="1814"/>
          </w:tcPr>
          <w:p>
            <w:r>
              <w:rPr>
                <w:rFonts w:ascii="Times New Roman" w:hAnsi="Times New Roman"/>
                <w:sz w:val="20"/>
              </w:rPr>
              <w:t>D7</w:t>
            </w:r>
          </w:p>
        </w:tc>
        <w:tc>
          <w:tcPr>
            <w:tcW w:type="dxa" w:w="1814"/>
          </w:tcPr>
          <w:p>
            <w:r>
              <w:rPr>
                <w:rFonts w:ascii="Times New Roman" w:hAnsi="Times New Roman"/>
                <w:sz w:val="20"/>
              </w:rPr>
              <w:t>EP 2 320 072 A1 (Enercon)</w:t>
            </w:r>
          </w:p>
        </w:tc>
        <w:tc>
          <w:tcPr>
            <w:tcW w:type="dxa" w:w="1814"/>
          </w:tcPr>
          <w:p>
            <w:r>
              <w:rPr>
                <w:rFonts w:ascii="Times New Roman" w:hAnsi="Times New Roman"/>
                <w:sz w:val="20"/>
              </w:rPr>
              <w:t>Enercon GmbH</w:t>
            </w:r>
          </w:p>
        </w:tc>
        <w:tc>
          <w:tcPr>
            <w:tcW w:type="dxa" w:w="1814"/>
          </w:tcPr>
          <w:p>
            <w:r>
              <w:rPr>
                <w:rFonts w:ascii="Times New Roman" w:hAnsi="Times New Roman"/>
                <w:sz w:val="20"/>
              </w:rPr>
              <w:t>11.05.2011</w:t>
            </w:r>
          </w:p>
        </w:tc>
        <w:tc>
          <w:tcPr>
            <w:tcW w:type="dxa" w:w="1814"/>
          </w:tcPr>
          <w:p>
            <w:r>
              <w:rPr>
                <w:rFonts w:ascii="Times New Roman" w:hAnsi="Times New Roman"/>
                <w:sz w:val="20"/>
              </w:rPr>
              <w:t>M1, M2, M5 (Schleifring)</w:t>
            </w:r>
          </w:p>
        </w:tc>
      </w:tr>
      <w:tr>
        <w:tc>
          <w:tcPr>
            <w:tcW w:type="dxa" w:w="1814"/>
          </w:tcPr>
          <w:p>
            <w:r>
              <w:rPr>
                <w:rFonts w:ascii="Times New Roman" w:hAnsi="Times New Roman"/>
                <w:sz w:val="20"/>
              </w:rPr>
              <w:t>D8</w:t>
            </w:r>
          </w:p>
        </w:tc>
        <w:tc>
          <w:tcPr>
            <w:tcW w:type="dxa" w:w="1814"/>
          </w:tcPr>
          <w:p>
            <w:r>
              <w:rPr>
                <w:rFonts w:ascii="Times New Roman" w:hAnsi="Times New Roman"/>
                <w:sz w:val="20"/>
              </w:rPr>
              <w:t>US 8 866 328 B2 (GE)</w:t>
            </w:r>
          </w:p>
        </w:tc>
        <w:tc>
          <w:tcPr>
            <w:tcW w:type="dxa" w:w="1814"/>
          </w:tcPr>
          <w:p>
            <w:r>
              <w:rPr>
                <w:rFonts w:ascii="Times New Roman" w:hAnsi="Times New Roman"/>
                <w:sz w:val="20"/>
              </w:rPr>
              <w:t>General Electric</w:t>
            </w:r>
          </w:p>
        </w:tc>
        <w:tc>
          <w:tcPr>
            <w:tcW w:type="dxa" w:w="1814"/>
          </w:tcPr>
          <w:p>
            <w:r>
              <w:rPr>
                <w:rFonts w:ascii="Times New Roman" w:hAnsi="Times New Roman"/>
                <w:sz w:val="20"/>
              </w:rPr>
              <w:t>21.10.2014</w:t>
            </w:r>
          </w:p>
        </w:tc>
        <w:tc>
          <w:tcPr>
            <w:tcW w:type="dxa" w:w="1814"/>
          </w:tcPr>
          <w:p>
            <w:r>
              <w:rPr>
                <w:rFonts w:ascii="Times New Roman" w:hAnsi="Times New Roman"/>
                <w:sz w:val="20"/>
              </w:rPr>
              <w:t>M1, M2 (Heizzonensteuerung allg.)</w:t>
            </w:r>
          </w:p>
        </w:tc>
      </w:tr>
      <w:tr>
        <w:tc>
          <w:tcPr>
            <w:tcW w:type="dxa" w:w="1814"/>
          </w:tcPr>
          <w:p>
            <w:r>
              <w:rPr>
                <w:rFonts w:ascii="Times New Roman" w:hAnsi="Times New Roman"/>
                <w:sz w:val="20"/>
              </w:rPr>
              <w:t>D9</w:t>
            </w:r>
          </w:p>
        </w:tc>
        <w:tc>
          <w:tcPr>
            <w:tcW w:type="dxa" w:w="1814"/>
          </w:tcPr>
          <w:p>
            <w:r>
              <w:rPr>
                <w:rFonts w:ascii="Times New Roman" w:hAnsi="Times New Roman"/>
                <w:sz w:val="20"/>
              </w:rPr>
              <w:t>WO 2016/058573 A1 (Siemens)</w:t>
            </w:r>
          </w:p>
        </w:tc>
        <w:tc>
          <w:tcPr>
            <w:tcW w:type="dxa" w:w="1814"/>
          </w:tcPr>
          <w:p>
            <w:r>
              <w:rPr>
                <w:rFonts w:ascii="Times New Roman" w:hAnsi="Times New Roman"/>
                <w:sz w:val="20"/>
              </w:rPr>
              <w:t>Siemens AG</w:t>
            </w:r>
          </w:p>
        </w:tc>
        <w:tc>
          <w:tcPr>
            <w:tcW w:type="dxa" w:w="1814"/>
          </w:tcPr>
          <w:p>
            <w:r>
              <w:rPr>
                <w:rFonts w:ascii="Times New Roman" w:hAnsi="Times New Roman"/>
                <w:sz w:val="20"/>
              </w:rPr>
              <w:t>21.04.2016</w:t>
            </w:r>
          </w:p>
        </w:tc>
        <w:tc>
          <w:tcPr>
            <w:tcW w:type="dxa" w:w="1814"/>
          </w:tcPr>
          <w:p>
            <w:r>
              <w:rPr>
                <w:rFonts w:ascii="Times New Roman" w:hAnsi="Times New Roman"/>
                <w:sz w:val="20"/>
              </w:rPr>
              <w:t>M4, M6 (Sensorik + Steuerung)</w:t>
            </w:r>
          </w:p>
        </w:tc>
      </w:tr>
      <w:tr>
        <w:tc>
          <w:tcPr>
            <w:tcW w:type="dxa" w:w="1814"/>
          </w:tcPr>
          <w:p>
            <w:r>
              <w:rPr>
                <w:rFonts w:ascii="Times New Roman" w:hAnsi="Times New Roman"/>
                <w:sz w:val="20"/>
              </w:rPr>
              <w:t>D10</w:t>
            </w:r>
          </w:p>
        </w:tc>
        <w:tc>
          <w:tcPr>
            <w:tcW w:type="dxa" w:w="1814"/>
          </w:tcPr>
          <w:p>
            <w:r>
              <w:rPr>
                <w:rFonts w:ascii="Times New Roman" w:hAnsi="Times New Roman"/>
                <w:sz w:val="20"/>
              </w:rPr>
              <w:t>DE 10 2013 215 047 A1 (Wobben)</w:t>
            </w:r>
          </w:p>
        </w:tc>
        <w:tc>
          <w:tcPr>
            <w:tcW w:type="dxa" w:w="1814"/>
          </w:tcPr>
          <w:p>
            <w:r>
              <w:rPr>
                <w:rFonts w:ascii="Times New Roman" w:hAnsi="Times New Roman"/>
                <w:sz w:val="20"/>
              </w:rPr>
              <w:t>Wobben Properties GmbH</w:t>
            </w:r>
          </w:p>
        </w:tc>
        <w:tc>
          <w:tcPr>
            <w:tcW w:type="dxa" w:w="1814"/>
          </w:tcPr>
          <w:p>
            <w:r>
              <w:rPr>
                <w:rFonts w:ascii="Times New Roman" w:hAnsi="Times New Roman"/>
                <w:sz w:val="20"/>
              </w:rPr>
              <w:t>04.02.2015</w:t>
            </w:r>
          </w:p>
        </w:tc>
        <w:tc>
          <w:tcPr>
            <w:tcW w:type="dxa" w:w="1814"/>
          </w:tcPr>
          <w:p>
            <w:r>
              <w:rPr>
                <w:rFonts w:ascii="Times New Roman" w:hAnsi="Times New Roman"/>
                <w:sz w:val="20"/>
              </w:rPr>
              <w:t>M1, M2, M3</w:t>
            </w:r>
          </w:p>
        </w:tc>
      </w:tr>
    </w:tbl>
    <w:p>
      <w:pPr>
        <w:pStyle w:val="Heading2"/>
      </w:pPr>
      <w:r>
        <w:rPr>
          <w:rFonts w:ascii="Times New Roman" w:hAnsi="Times New Roman"/>
        </w:rPr>
        <w:t>3. Analyse zentraler Vorveröffentlichungen</w:t>
      </w:r>
    </w:p>
    <w:p>
      <w:pPr>
        <w:pStyle w:val="Heading3"/>
      </w:pPr>
      <w:r>
        <w:rPr>
          <w:rFonts w:ascii="Times New Roman" w:hAnsi="Times New Roman"/>
        </w:rPr>
        <w:t>D3 — WO 2014/044280 A1 (Gamesa)</w:t>
      </w:r>
    </w:p>
    <w:p>
      <w:pPr>
        <w:jc w:val="left"/>
      </w:pPr>
      <w:r>
        <w:t>Titel: „System and method for anti-icing of wind turbine blades using carbon-based heating elements"</w:t>
      </w:r>
    </w:p>
    <w:p>
      <w:pPr>
        <w:jc w:val="left"/>
      </w:pPr>
      <w:r>
        <w:t>Anmeldetag: 12.09.2013. Veröffentlicht: 27.03.2014. Inhaber: Gamesa Innovation &amp; Technology S.L.</w:t>
      </w:r>
    </w:p>
    <w:p>
      <w:pPr>
        <w:jc w:val="left"/>
      </w:pPr>
      <w:r>
        <w:t>Relevante Offenbarung: In Abs. [0023] wird explizit die Verwendung von Kohlenstofffasergewebe als elektrischer Widerstandsheizer beschrieben (M3). Heizzonen (2 Zonen: Spitze und Mitte) — nicht 3, aber Abs. [0031] erwähnt mögliche weitere Zoneneinteilung als fakultativ. Keine kapazitive Eisdetektion (M4 nicht offenbart). Keine kontaktlose Energieübertragung (M5 nicht offenbart).</w:t>
      </w:r>
    </w:p>
    <w:p>
      <w:pPr>
        <w:jc w:val="left"/>
      </w:pPr>
      <w:r>
        <w:t>Neuheitsschädlichkeit für EP 3 218 922 B1 Anspruch 1: Nicht vollständig — M4 und M5 fehlen in D3. Keine Neuheitsschädlichkeit für Anspruch 1 als Ganzes. Aber D3 relevant für Teilmerkmal M3 (erfinderische Tätigkeit: Kohlenstoffmaterial war bekannt).</w:t>
      </w:r>
    </w:p>
    <w:p>
      <w:pPr>
        <w:pStyle w:val="Heading3"/>
      </w:pPr>
      <w:r>
        <w:rPr>
          <w:rFonts w:ascii="Times New Roman" w:hAnsi="Times New Roman"/>
        </w:rPr>
        <w:t>D4 — CN 106 121 921 A (CSIC — China Shipbuilding)</w:t>
      </w:r>
    </w:p>
    <w:p>
      <w:pPr>
        <w:jc w:val="left"/>
      </w:pPr>
      <w:r>
        <w:t>Titel (Maschinenübersetzung): „Elektrisches Heizsystem für Windkraftrotorblätter mit Zonensteuerung und Sensorsystem"</w:t>
      </w:r>
    </w:p>
    <w:p>
      <w:pPr>
        <w:jc w:val="left"/>
      </w:pPr>
      <w:r>
        <w:t>Veröffentlicht: 16.11.2016. Anmeldetag: 22.04.2016. Offenbarung (Maschinenübersetzung): Heizelemente aus Kohlenstofffaser, 4 Heizzonen, Temperatursensoren (nicht kapazitiv), Schleifringstromübertrager, Steuereinheit.</w:t>
      </w:r>
    </w:p>
    <w:p>
      <w:pPr>
        <w:jc w:val="left"/>
      </w:pPr>
      <w:r>
        <w:t>Relevanz: M1, M2, M3 offenbart. M4 nur Temperatursensor (nicht kapazitiv). M5 Schleifring (nicht kontaktlos). D4 neuheitsschädlich für Kombination M1+M2+M3, aber nicht für M1–M6 als Ganzes.</w:t>
      </w:r>
    </w:p>
    <w:p>
      <w:pPr>
        <w:jc w:val="left"/>
      </w:pPr>
      <w:r>
        <w:t>Mögliche Argumentation in Nichtigkeitsklage: Kohlefaservlies + Zonierung + allgemeine Steuerung war durch D4 + D3 bereits bekannt. Kontaktlose Übertragung aus D7 (Enercon) und kapazitive Sensorik aus D6 (Fachartikel) bekannt. Fachmann hätte alle Merkmale durch Kombination bekannter Elemente realisiert.</w:t>
      </w:r>
    </w:p>
    <w:p>
      <w:pPr>
        <w:pStyle w:val="Heading3"/>
      </w:pPr>
      <w:r>
        <w:rPr>
          <w:rFonts w:ascii="Times New Roman" w:hAnsi="Times New Roman"/>
        </w:rPr>
        <w:t>D6 — Fachartikel Fakorede et al. (2016)</w:t>
      </w:r>
    </w:p>
    <w:p>
      <w:pPr>
        <w:jc w:val="left"/>
      </w:pPr>
      <w:r>
        <w:t>Fakorede, O., Feger, Z., Wackernagel, H., Laforte, C. (2016): „Ice Storm Icing on Wind Turbines: Characterization and Mitigation", International Journal of Sustainable Energy, Vol. 35(4), S. 201–219.</w:t>
      </w:r>
    </w:p>
    <w:p>
      <w:pPr>
        <w:jc w:val="left"/>
      </w:pPr>
      <w:r>
        <w:t>Veröffentlichungsdatum: 01.03.2016 (online first: 12.11.2015). Inhalt: Abschnitt 4.3 beschreibt kapazitive Messverfahren zur Eisdickenbestimmung an Windkraftrotorblättern als Forschungsgegenstand. Keine Systemrealisierung, aber wissenschaftliche Offenbarung von M4.</w:t>
      </w:r>
    </w:p>
    <w:p>
      <w:pPr>
        <w:jc w:val="left"/>
      </w:pPr>
      <w:r>
        <w:t>Relevanz: D6 belegt, dass kapazitive Eisdickenmessung an Windkraftrotorblättern vor dem Prioritätstag im Stand der Technik bekannt war (keine erfinderische Tätigkeit für M4 in Isolation).</w:t>
      </w:r>
    </w:p>
    <w:p>
      <w:pPr>
        <w:pStyle w:val="Heading2"/>
      </w:pPr>
      <w:r>
        <w:rPr>
          <w:rFonts w:ascii="Times New Roman" w:hAnsi="Times New Roman"/>
        </w:rPr>
        <w:t>4. Zwischenergebnis Nichtigkeitsrecherche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Anspruchsmerkmal</w:t>
            </w:r>
          </w:p>
        </w:tc>
        <w:tc>
          <w:tcPr>
            <w:tcW w:type="dxa" w:w="2268"/>
          </w:tcPr>
          <w:p>
            <w:r>
              <w:rPr>
                <w:rFonts w:ascii="Times New Roman" w:hAnsi="Times New Roman"/>
                <w:b/>
                <w:sz w:val="20"/>
              </w:rPr>
              <w:t>Vorveröffentlichung</w:t>
            </w:r>
          </w:p>
        </w:tc>
        <w:tc>
          <w:tcPr>
            <w:tcW w:type="dxa" w:w="2268"/>
          </w:tcPr>
          <w:p>
            <w:r>
              <w:rPr>
                <w:rFonts w:ascii="Times New Roman" w:hAnsi="Times New Roman"/>
                <w:b/>
                <w:sz w:val="20"/>
              </w:rPr>
              <w:t>Neuheitsschädlichkeit</w:t>
            </w:r>
          </w:p>
        </w:tc>
        <w:tc>
          <w:tcPr>
            <w:tcW w:type="dxa" w:w="2268"/>
          </w:tcPr>
          <w:p>
            <w:r>
              <w:rPr>
                <w:rFonts w:ascii="Times New Roman" w:hAnsi="Times New Roman"/>
                <w:b/>
                <w:sz w:val="20"/>
              </w:rPr>
              <w:t>Relevanz erfinderische Tätigkeit</w:t>
            </w:r>
          </w:p>
        </w:tc>
      </w:tr>
      <w:tr>
        <w:tc>
          <w:tcPr>
            <w:tcW w:type="dxa" w:w="2268"/>
          </w:tcPr>
          <w:p>
            <w:r>
              <w:rPr>
                <w:rFonts w:ascii="Times New Roman" w:hAnsi="Times New Roman"/>
                <w:sz w:val="20"/>
              </w:rPr>
              <w:t>M1</w:t>
            </w:r>
          </w:p>
        </w:tc>
        <w:tc>
          <w:tcPr>
            <w:tcW w:type="dxa" w:w="2268"/>
          </w:tcPr>
          <w:p>
            <w:r>
              <w:rPr>
                <w:rFonts w:ascii="Times New Roman" w:hAnsi="Times New Roman"/>
                <w:sz w:val="20"/>
              </w:rPr>
              <w:t>D1, D2, D3, D4, D5, D7, D8, D10</w:t>
            </w:r>
          </w:p>
        </w:tc>
        <w:tc>
          <w:tcPr>
            <w:tcW w:type="dxa" w:w="2268"/>
          </w:tcPr>
          <w:p>
            <w:r>
              <w:rPr>
                <w:rFonts w:ascii="Times New Roman" w:hAnsi="Times New Roman"/>
                <w:sz w:val="20"/>
              </w:rPr>
              <w:t>Nein (einzeln)</w:t>
            </w:r>
          </w:p>
        </w:tc>
        <w:tc>
          <w:tcPr>
            <w:tcW w:type="dxa" w:w="2268"/>
          </w:tcPr>
          <w:p>
            <w:r>
              <w:rPr>
                <w:rFonts w:ascii="Times New Roman" w:hAnsi="Times New Roman"/>
                <w:sz w:val="20"/>
              </w:rPr>
              <w:t>Oberbegriff trivial</w:t>
            </w:r>
          </w:p>
        </w:tc>
      </w:tr>
      <w:tr>
        <w:tc>
          <w:tcPr>
            <w:tcW w:type="dxa" w:w="2268"/>
          </w:tcPr>
          <w:p>
            <w:r>
              <w:rPr>
                <w:rFonts w:ascii="Times New Roman" w:hAnsi="Times New Roman"/>
                <w:sz w:val="20"/>
              </w:rPr>
              <w:t>M2</w:t>
            </w:r>
          </w:p>
        </w:tc>
        <w:tc>
          <w:tcPr>
            <w:tcW w:type="dxa" w:w="2268"/>
          </w:tcPr>
          <w:p>
            <w:r>
              <w:rPr>
                <w:rFonts w:ascii="Times New Roman" w:hAnsi="Times New Roman"/>
                <w:sz w:val="20"/>
              </w:rPr>
              <w:t>D1, D4, D8</w:t>
            </w:r>
          </w:p>
        </w:tc>
        <w:tc>
          <w:tcPr>
            <w:tcW w:type="dxa" w:w="2268"/>
          </w:tcPr>
          <w:p>
            <w:r>
              <w:rPr>
                <w:rFonts w:ascii="Times New Roman" w:hAnsi="Times New Roman"/>
                <w:sz w:val="20"/>
              </w:rPr>
              <w:t>Nein (zusammen mit M3–M6 nicht)</w:t>
            </w:r>
          </w:p>
        </w:tc>
        <w:tc>
          <w:tcPr>
            <w:tcW w:type="dxa" w:w="2268"/>
          </w:tcPr>
          <w:p>
            <w:r>
              <w:rPr>
                <w:rFonts w:ascii="Times New Roman" w:hAnsi="Times New Roman"/>
                <w:sz w:val="20"/>
              </w:rPr>
              <w:t>M2 als solche bekannt</w:t>
            </w:r>
          </w:p>
        </w:tc>
      </w:tr>
      <w:tr>
        <w:tc>
          <w:tcPr>
            <w:tcW w:type="dxa" w:w="2268"/>
          </w:tcPr>
          <w:p>
            <w:r>
              <w:rPr>
                <w:rFonts w:ascii="Times New Roman" w:hAnsi="Times New Roman"/>
                <w:sz w:val="20"/>
              </w:rPr>
              <w:t>M3</w:t>
            </w:r>
          </w:p>
        </w:tc>
        <w:tc>
          <w:tcPr>
            <w:tcW w:type="dxa" w:w="2268"/>
          </w:tcPr>
          <w:p>
            <w:r>
              <w:rPr>
                <w:rFonts w:ascii="Times New Roman" w:hAnsi="Times New Roman"/>
                <w:sz w:val="20"/>
              </w:rPr>
              <w:t>D3, D4, D10</w:t>
            </w:r>
          </w:p>
        </w:tc>
        <w:tc>
          <w:tcPr>
            <w:tcW w:type="dxa" w:w="2268"/>
          </w:tcPr>
          <w:p>
            <w:r>
              <w:rPr>
                <w:rFonts w:ascii="Times New Roman" w:hAnsi="Times New Roman"/>
                <w:sz w:val="20"/>
              </w:rPr>
              <w:t>Nein (zusammen mit M4–M6 nicht)</w:t>
            </w:r>
          </w:p>
        </w:tc>
        <w:tc>
          <w:tcPr>
            <w:tcW w:type="dxa" w:w="2268"/>
          </w:tcPr>
          <w:p>
            <w:r>
              <w:rPr>
                <w:rFonts w:ascii="Times New Roman" w:hAnsi="Times New Roman"/>
                <w:sz w:val="20"/>
              </w:rPr>
              <w:t>Kohlenstoff-Heizer bekannt</w:t>
            </w:r>
          </w:p>
        </w:tc>
      </w:tr>
      <w:tr>
        <w:tc>
          <w:tcPr>
            <w:tcW w:type="dxa" w:w="2268"/>
          </w:tcPr>
          <w:p>
            <w:r>
              <w:rPr>
                <w:rFonts w:ascii="Times New Roman" w:hAnsi="Times New Roman"/>
                <w:sz w:val="20"/>
              </w:rPr>
              <w:t>M4</w:t>
            </w:r>
          </w:p>
        </w:tc>
        <w:tc>
          <w:tcPr>
            <w:tcW w:type="dxa" w:w="2268"/>
          </w:tcPr>
          <w:p>
            <w:r>
              <w:rPr>
                <w:rFonts w:ascii="Times New Roman" w:hAnsi="Times New Roman"/>
                <w:sz w:val="20"/>
              </w:rPr>
              <w:t>D6, D9</w:t>
            </w:r>
          </w:p>
        </w:tc>
        <w:tc>
          <w:tcPr>
            <w:tcW w:type="dxa" w:w="2268"/>
          </w:tcPr>
          <w:p>
            <w:r>
              <w:rPr>
                <w:rFonts w:ascii="Times New Roman" w:hAnsi="Times New Roman"/>
                <w:sz w:val="20"/>
              </w:rPr>
              <w:t>Nein (ohne M1–M3)</w:t>
            </w:r>
          </w:p>
        </w:tc>
        <w:tc>
          <w:tcPr>
            <w:tcW w:type="dxa" w:w="2268"/>
          </w:tcPr>
          <w:p>
            <w:r>
              <w:rPr>
                <w:rFonts w:ascii="Times New Roman" w:hAnsi="Times New Roman"/>
                <w:sz w:val="20"/>
              </w:rPr>
              <w:t>Kapazitive Sensorik bekannt</w:t>
            </w:r>
          </w:p>
        </w:tc>
      </w:tr>
      <w:tr>
        <w:tc>
          <w:tcPr>
            <w:tcW w:type="dxa" w:w="2268"/>
          </w:tcPr>
          <w:p>
            <w:r>
              <w:rPr>
                <w:rFonts w:ascii="Times New Roman" w:hAnsi="Times New Roman"/>
                <w:sz w:val="20"/>
              </w:rPr>
              <w:t>M5</w:t>
            </w:r>
          </w:p>
        </w:tc>
        <w:tc>
          <w:tcPr>
            <w:tcW w:type="dxa" w:w="2268"/>
          </w:tcPr>
          <w:p>
            <w:r>
              <w:rPr>
                <w:rFonts w:ascii="Times New Roman" w:hAnsi="Times New Roman"/>
                <w:sz w:val="20"/>
              </w:rPr>
              <w:t>D7 (Schleifring, Äquivalent?)</w:t>
            </w:r>
          </w:p>
        </w:tc>
        <w:tc>
          <w:tcPr>
            <w:tcW w:type="dxa" w:w="2268"/>
          </w:tcPr>
          <w:p>
            <w:r>
              <w:rPr>
                <w:rFonts w:ascii="Times New Roman" w:hAnsi="Times New Roman"/>
                <w:sz w:val="20"/>
              </w:rPr>
              <w:t>Fraglich</w:t>
            </w:r>
          </w:p>
        </w:tc>
        <w:tc>
          <w:tcPr>
            <w:tcW w:type="dxa" w:w="2268"/>
          </w:tcPr>
          <w:p>
            <w:r>
              <w:rPr>
                <w:rFonts w:ascii="Times New Roman" w:hAnsi="Times New Roman"/>
                <w:sz w:val="20"/>
              </w:rPr>
              <w:t>Kontaktlose Übertragung bekannt (WO 2010/086406 = separate Suche)</w:t>
            </w:r>
          </w:p>
        </w:tc>
      </w:tr>
      <w:tr>
        <w:tc>
          <w:tcPr>
            <w:tcW w:type="dxa" w:w="2268"/>
          </w:tcPr>
          <w:p>
            <w:r>
              <w:rPr>
                <w:rFonts w:ascii="Times New Roman" w:hAnsi="Times New Roman"/>
                <w:sz w:val="20"/>
              </w:rPr>
              <w:t>M6</w:t>
            </w:r>
          </w:p>
        </w:tc>
        <w:tc>
          <w:tcPr>
            <w:tcW w:type="dxa" w:w="2268"/>
          </w:tcPr>
          <w:p>
            <w:r>
              <w:rPr>
                <w:rFonts w:ascii="Times New Roman" w:hAnsi="Times New Roman"/>
                <w:sz w:val="20"/>
              </w:rPr>
              <w:t>D4, D9</w:t>
            </w:r>
          </w:p>
        </w:tc>
        <w:tc>
          <w:tcPr>
            <w:tcW w:type="dxa" w:w="2268"/>
          </w:tcPr>
          <w:p>
            <w:r>
              <w:rPr>
                <w:rFonts w:ascii="Times New Roman" w:hAnsi="Times New Roman"/>
                <w:sz w:val="20"/>
              </w:rPr>
              <w:t>Nein</w:t>
            </w:r>
          </w:p>
        </w:tc>
        <w:tc>
          <w:tcPr>
            <w:tcW w:type="dxa" w:w="2268"/>
          </w:tcPr>
          <w:p>
            <w:r>
              <w:rPr>
                <w:rFonts w:ascii="Times New Roman" w:hAnsi="Times New Roman"/>
                <w:sz w:val="20"/>
              </w:rPr>
              <w:t>Zonensteuerung bekannt</w:t>
            </w:r>
          </w:p>
        </w:tc>
      </w:tr>
      <w:tr>
        <w:tc>
          <w:tcPr>
            <w:tcW w:type="dxa" w:w="2268"/>
          </w:tcPr>
          <w:p>
            <w:r>
              <w:rPr>
                <w:rFonts w:ascii="Times New Roman" w:hAnsi="Times New Roman"/>
                <w:sz w:val="20"/>
              </w:rPr>
              <w:t>M1–M6</w:t>
            </w:r>
          </w:p>
        </w:tc>
        <w:tc>
          <w:tcPr>
            <w:tcW w:type="dxa" w:w="2268"/>
          </w:tcPr>
          <w:p>
            <w:r>
              <w:rPr>
                <w:rFonts w:ascii="Times New Roman" w:hAnsi="Times New Roman"/>
                <w:sz w:val="20"/>
              </w:rPr>
              <w:t>Keine Einzeldok.</w:t>
            </w:r>
          </w:p>
        </w:tc>
        <w:tc>
          <w:tcPr>
            <w:tcW w:type="dxa" w:w="2268"/>
          </w:tcPr>
          <w:p>
            <w:r>
              <w:rPr>
                <w:rFonts w:ascii="Times New Roman" w:hAnsi="Times New Roman"/>
                <w:sz w:val="20"/>
              </w:rPr>
              <w:t>Nein</w:t>
            </w:r>
          </w:p>
        </w:tc>
        <w:tc>
          <w:tcPr>
            <w:tcW w:type="dxa" w:w="2268"/>
          </w:tcPr>
          <w:p>
            <w:r>
              <w:rPr>
                <w:rFonts w:ascii="Times New Roman" w:hAnsi="Times New Roman"/>
                <w:sz w:val="20"/>
              </w:rPr>
              <w:t>Naheliegen-Prüfung erforderlich (AS 15)</w:t>
            </w:r>
          </w:p>
        </w:tc>
      </w:tr>
    </w:tbl>
    <w:p>
      <w:pPr>
        <w:jc w:val="left"/>
      </w:pPr>
      <w:r>
        <w:t>Vorläufige Einschätzung Nichtigkeitsklage: Neuheitsangriff gegen Anspruch 1 als Ganzes nicht möglich (keine Einzelentgegenhaltung offenbart alle 6 Merkmale). Erfinderische-Tätigkeit-Angriff durch Merkmalskombination D3 + D4 + D6 vielversprechend — Analyse in Aktenstück 15.</w:t>
      </w:r>
    </w:p>
    <w:p>
      <w:pPr>
        <w:jc w:val="left"/>
      </w:pPr>
      <w:r>
        <w:t>Quellen: DPMA BPatG-Verfahren | EPO Art. 54 EPÜ | dejure.org — § 3 PatG | IEEE Xplore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