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Neuheitsschädlichkeitsprüfung (§ 3 PatG / Art. 54 EPÜ)</w:t>
      </w:r>
    </w:p>
    <w:p>
      <w:pPr>
        <w:jc w:val="left"/>
      </w:pPr>
      <w:r>
        <w:t>AZ: SE-2026-FTO-0717 | Bearb.: Dr. Eppendorfer | Stand: 03.03.2026</w:t>
      </w:r>
    </w:p>
    <w:p/>
    <w:p>
      <w:pPr>
        <w:pStyle w:val="Heading2"/>
      </w:pPr>
      <w:r>
        <w:rPr>
          <w:rFonts w:ascii="Times New Roman" w:hAnsi="Times New Roman"/>
        </w:rPr>
        <w:t>1. Rechtlicher Rahmen</w:t>
      </w:r>
    </w:p>
    <w:p>
      <w:pPr>
        <w:jc w:val="left"/>
      </w:pPr>
      <w:r>
        <w:t>Neuheitsanforderung: § 3 Abs. 1 PatG / Art. 54 Abs. 1 EPÜ: Eine Erfindung gilt als neu, wenn sie nicht zum Stand der Technik gehört. Stand der Technik umfasst alles, was vor dem Anmeldetag der Öffentlichkeit durch schriftliche oder mündliche Beschreibung, durch Benutzung oder in sonstiger Weise zugänglich gemacht worden ist.</w:t>
      </w:r>
    </w:p>
    <w:p>
      <w:pPr>
        <w:jc w:val="left"/>
      </w:pPr>
      <w:r>
        <w:t>Im EPO-Einspruchsverfahren gilt: Absolute Neuheit (kein geografisch beschränkter Stand der Technik). Für CN-Dokumente: Nur wenn vor Prioritätstag weltweit zugänglich veröffentlicht.</w:t>
      </w:r>
    </w:p>
    <w:p>
      <w:pPr>
        <w:jc w:val="left"/>
      </w:pPr>
      <w:r>
        <w:t>Maßstab: „Vorwegnehmen" eines Anspruchs setzt voraus, dass alle Merkmale des Anspruchs in einem einzigen Dokument unmittelbar und eindeutig offenbart sind (EPO-Prüfungsrichtlinien G-VI, 2; BGH X ZR 73/01 „Kupplungsvorrichtung").</w:t>
      </w:r>
    </w:p>
    <w:p>
      <w:pPr>
        <w:pStyle w:val="Heading2"/>
      </w:pPr>
      <w:r>
        <w:rPr>
          <w:rFonts w:ascii="Times New Roman" w:hAnsi="Times New Roman"/>
        </w:rPr>
        <w:t>2. Prüfung D3 (WO 2014/044280 A1 — Gamesa) gegen Anspruch 1</w:t>
      </w:r>
    </w:p>
    <w:p>
      <w:pPr>
        <w:jc w:val="left"/>
      </w:pPr>
      <w:r>
        <w:t>Anspruch 1 EP 3 218 922 B1 umfasst Merkmale M1–M6.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In D3 offenbart?</w:t>
            </w:r>
          </w:p>
        </w:tc>
        <w:tc>
          <w:tcPr>
            <w:tcW w:type="dxa" w:w="3024"/>
          </w:tcPr>
          <w:p>
            <w:r>
              <w:rPr>
                <w:rFonts w:ascii="Times New Roman" w:hAnsi="Times New Roman"/>
                <w:b/>
                <w:sz w:val="20"/>
              </w:rPr>
              <w:t>Fundstelle D3</w:t>
            </w:r>
          </w:p>
        </w:tc>
      </w:tr>
      <w:tr>
        <w:tc>
          <w:tcPr>
            <w:tcW w:type="dxa" w:w="3024"/>
          </w:tcPr>
          <w:p>
            <w:r>
              <w:rPr>
                <w:rFonts w:ascii="Times New Roman" w:hAnsi="Times New Roman"/>
                <w:sz w:val="20"/>
              </w:rPr>
              <w:t>M1 (Elektrothermisches Rotorblatt-Heizsystem)</w:t>
            </w:r>
          </w:p>
        </w:tc>
        <w:tc>
          <w:tcPr>
            <w:tcW w:type="dxa" w:w="3024"/>
          </w:tcPr>
          <w:p>
            <w:r>
              <w:rPr>
                <w:rFonts w:ascii="Times New Roman" w:hAnsi="Times New Roman"/>
                <w:sz w:val="20"/>
              </w:rPr>
              <w:t>JA</w:t>
            </w:r>
          </w:p>
        </w:tc>
        <w:tc>
          <w:tcPr>
            <w:tcW w:type="dxa" w:w="3024"/>
          </w:tcPr>
          <w:p>
            <w:r>
              <w:rPr>
                <w:rFonts w:ascii="Times New Roman" w:hAnsi="Times New Roman"/>
                <w:sz w:val="20"/>
              </w:rPr>
              <w:t>Abs. [0001]</w:t>
            </w:r>
          </w:p>
        </w:tc>
      </w:tr>
      <w:tr>
        <w:tc>
          <w:tcPr>
            <w:tcW w:type="dxa" w:w="3024"/>
          </w:tcPr>
          <w:p>
            <w:r>
              <w:rPr>
                <w:rFonts w:ascii="Times New Roman" w:hAnsi="Times New Roman"/>
                <w:sz w:val="20"/>
              </w:rPr>
              <w:t>M2 (Mind. 3 Zonen, unterschiedliche Leistungsdichten)</w:t>
            </w:r>
          </w:p>
        </w:tc>
        <w:tc>
          <w:tcPr>
            <w:tcW w:type="dxa" w:w="3024"/>
          </w:tcPr>
          <w:p>
            <w:r>
              <w:rPr>
                <w:rFonts w:ascii="Times New Roman" w:hAnsi="Times New Roman"/>
                <w:sz w:val="20"/>
              </w:rPr>
              <w:t>TEILWEISE — 2 Zonen explizit; 3+ nur als Möglichkeit</w:t>
            </w:r>
          </w:p>
        </w:tc>
        <w:tc>
          <w:tcPr>
            <w:tcW w:type="dxa" w:w="3024"/>
          </w:tcPr>
          <w:p>
            <w:r>
              <w:rPr>
                <w:rFonts w:ascii="Times New Roman" w:hAnsi="Times New Roman"/>
                <w:sz w:val="20"/>
              </w:rPr>
              <w:t>Abs. [0023], [0031]</w:t>
            </w:r>
          </w:p>
        </w:tc>
      </w:tr>
      <w:tr>
        <w:tc>
          <w:tcPr>
            <w:tcW w:type="dxa" w:w="3024"/>
          </w:tcPr>
          <w:p>
            <w:r>
              <w:rPr>
                <w:rFonts w:ascii="Times New Roman" w:hAnsi="Times New Roman"/>
                <w:sz w:val="20"/>
              </w:rPr>
              <w:t>M3 (Kohlenstoffbasiertes Widerstandsmaterial)</w:t>
            </w:r>
          </w:p>
        </w:tc>
        <w:tc>
          <w:tcPr>
            <w:tcW w:type="dxa" w:w="3024"/>
          </w:tcPr>
          <w:p>
            <w:r>
              <w:rPr>
                <w:rFonts w:ascii="Times New Roman" w:hAnsi="Times New Roman"/>
                <w:sz w:val="20"/>
              </w:rPr>
              <w:t>JA</w:t>
            </w:r>
          </w:p>
        </w:tc>
        <w:tc>
          <w:tcPr>
            <w:tcW w:type="dxa" w:w="3024"/>
          </w:tcPr>
          <w:p>
            <w:r>
              <w:rPr>
                <w:rFonts w:ascii="Times New Roman" w:hAnsi="Times New Roman"/>
                <w:sz w:val="20"/>
              </w:rPr>
              <w:t>Abs. [0023]: „carbon fiber fabric"</w:t>
            </w:r>
          </w:p>
        </w:tc>
      </w:tr>
      <w:tr>
        <w:tc>
          <w:tcPr>
            <w:tcW w:type="dxa" w:w="3024"/>
          </w:tcPr>
          <w:p>
            <w:r>
              <w:rPr>
                <w:rFonts w:ascii="Times New Roman" w:hAnsi="Times New Roman"/>
                <w:sz w:val="20"/>
              </w:rPr>
              <w:t>M4 (Kapazitive Sensoranordnung Eisdicke)</w:t>
            </w:r>
          </w:p>
        </w:tc>
        <w:tc>
          <w:tcPr>
            <w:tcW w:type="dxa" w:w="3024"/>
          </w:tcPr>
          <w:p>
            <w:r>
              <w:rPr>
                <w:rFonts w:ascii="Times New Roman" w:hAnsi="Times New Roman"/>
                <w:sz w:val="20"/>
              </w:rPr>
              <w:t>NEIN</w:t>
            </w:r>
          </w:p>
        </w:tc>
        <w:tc>
          <w:tcPr>
            <w:tcW w:type="dxa" w:w="3024"/>
          </w:tcPr>
          <w:p>
            <w:r>
              <w:rPr>
                <w:rFonts w:ascii="Times New Roman" w:hAnsi="Times New Roman"/>
                <w:sz w:val="20"/>
              </w:rPr>
              <w:t>D3 beschreibt Temperatursensoren, keine kapazitiven</w:t>
            </w:r>
          </w:p>
        </w:tc>
      </w:tr>
      <w:tr>
        <w:tc>
          <w:tcPr>
            <w:tcW w:type="dxa" w:w="3024"/>
          </w:tcPr>
          <w:p>
            <w:r>
              <w:rPr>
                <w:rFonts w:ascii="Times New Roman" w:hAnsi="Times New Roman"/>
                <w:sz w:val="20"/>
              </w:rPr>
              <w:t>M5 (Kontaktlose Energieübertragung)</w:t>
            </w:r>
          </w:p>
        </w:tc>
        <w:tc>
          <w:tcPr>
            <w:tcW w:type="dxa" w:w="3024"/>
          </w:tcPr>
          <w:p>
            <w:r>
              <w:rPr>
                <w:rFonts w:ascii="Times New Roman" w:hAnsi="Times New Roman"/>
                <w:sz w:val="20"/>
              </w:rPr>
              <w:t>NEIN</w:t>
            </w:r>
          </w:p>
        </w:tc>
        <w:tc>
          <w:tcPr>
            <w:tcW w:type="dxa" w:w="3024"/>
          </w:tcPr>
          <w:p>
            <w:r>
              <w:rPr>
                <w:rFonts w:ascii="Times New Roman" w:hAnsi="Times New Roman"/>
                <w:sz w:val="20"/>
              </w:rPr>
              <w:t>D3 beschreibt Schleifringsystem</w:t>
            </w:r>
          </w:p>
        </w:tc>
      </w:tr>
      <w:tr>
        <w:tc>
          <w:tcPr>
            <w:tcW w:type="dxa" w:w="3024"/>
          </w:tcPr>
          <w:p>
            <w:r>
              <w:rPr>
                <w:rFonts w:ascii="Times New Roman" w:hAnsi="Times New Roman"/>
                <w:sz w:val="20"/>
              </w:rPr>
              <w:t>M6 (Steuereinheit, zonale Aktivierung)</w:t>
            </w:r>
          </w:p>
        </w:tc>
        <w:tc>
          <w:tcPr>
            <w:tcW w:type="dxa" w:w="3024"/>
          </w:tcPr>
          <w:p>
            <w:r>
              <w:rPr>
                <w:rFonts w:ascii="Times New Roman" w:hAnsi="Times New Roman"/>
                <w:sz w:val="20"/>
              </w:rPr>
              <w:t>JA</w:t>
            </w:r>
          </w:p>
        </w:tc>
        <w:tc>
          <w:tcPr>
            <w:tcW w:type="dxa" w:w="3024"/>
          </w:tcPr>
          <w:p>
            <w:r>
              <w:rPr>
                <w:rFonts w:ascii="Times New Roman" w:hAnsi="Times New Roman"/>
                <w:sz w:val="20"/>
              </w:rPr>
              <w:t>Abs. [0041]</w:t>
            </w:r>
          </w:p>
        </w:tc>
      </w:tr>
    </w:tbl>
    <w:p>
      <w:pPr>
        <w:jc w:val="left"/>
      </w:pPr>
      <w:r>
        <w:t>Ergebnis D3 gegen Anspruch 1: Merkmale M4 und M5 nicht offenbart → D3 nicht neuheitsschädlich für Anspruch 1.</w:t>
      </w:r>
    </w:p>
    <w:p>
      <w:pPr>
        <w:pStyle w:val="Heading2"/>
      </w:pPr>
      <w:r>
        <w:rPr>
          <w:rFonts w:ascii="Times New Roman" w:hAnsi="Times New Roman"/>
        </w:rPr>
        <w:t>3. Prüfung D4 (CN 106 121 921 A — CSIC) gegen Anspruch 1</w:t>
      </w:r>
    </w:p>
    <w:p>
      <w:pPr>
        <w:jc w:val="left"/>
      </w:pPr>
      <w:r>
        <w:t>Verfügbarkeit: D4 (Veröffentlichung 16.11.2016) liegt vor Prioritätstag 22.06.2017. In CNIPA elektronisch veröffentlicht. Allgemeine Zugänglichkeit bejaht (Espacenet enthält D4 mit englischem Abstract ab 12.2016).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In D4 offenbart?</w:t>
            </w:r>
          </w:p>
        </w:tc>
        <w:tc>
          <w:tcPr>
            <w:tcW w:type="dxa" w:w="3024"/>
          </w:tcPr>
          <w:p>
            <w:r>
              <w:rPr>
                <w:rFonts w:ascii="Times New Roman" w:hAnsi="Times New Roman"/>
                <w:b/>
                <w:sz w:val="20"/>
              </w:rPr>
              <w:t>Fundstelle D4 (Maschinenübersetzung)</w:t>
            </w:r>
          </w:p>
        </w:tc>
      </w:tr>
      <w:tr>
        <w:tc>
          <w:tcPr>
            <w:tcW w:type="dxa" w:w="3024"/>
          </w:tcPr>
          <w:p>
            <w:r>
              <w:rPr>
                <w:rFonts w:ascii="Times New Roman" w:hAnsi="Times New Roman"/>
                <w:sz w:val="20"/>
              </w:rPr>
              <w:t>M1</w:t>
            </w:r>
          </w:p>
        </w:tc>
        <w:tc>
          <w:tcPr>
            <w:tcW w:type="dxa" w:w="3024"/>
          </w:tcPr>
          <w:p>
            <w:r>
              <w:rPr>
                <w:rFonts w:ascii="Times New Roman" w:hAnsi="Times New Roman"/>
                <w:sz w:val="20"/>
              </w:rPr>
              <w:t>JA</w:t>
            </w:r>
          </w:p>
        </w:tc>
        <w:tc>
          <w:tcPr>
            <w:tcW w:type="dxa" w:w="3024"/>
          </w:tcPr>
          <w:p>
            <w:r>
              <w:rPr>
                <w:rFonts w:ascii="Times New Roman" w:hAnsi="Times New Roman"/>
                <w:sz w:val="20"/>
              </w:rPr>
              <w:t>Abs. 1</w:t>
            </w:r>
          </w:p>
        </w:tc>
      </w:tr>
      <w:tr>
        <w:tc>
          <w:tcPr>
            <w:tcW w:type="dxa" w:w="3024"/>
          </w:tcPr>
          <w:p>
            <w:r>
              <w:rPr>
                <w:rFonts w:ascii="Times New Roman" w:hAnsi="Times New Roman"/>
                <w:sz w:val="20"/>
              </w:rPr>
              <w:t>M2</w:t>
            </w:r>
          </w:p>
        </w:tc>
        <w:tc>
          <w:tcPr>
            <w:tcW w:type="dxa" w:w="3024"/>
          </w:tcPr>
          <w:p>
            <w:r>
              <w:rPr>
                <w:rFonts w:ascii="Times New Roman" w:hAnsi="Times New Roman"/>
                <w:sz w:val="20"/>
              </w:rPr>
              <w:t>JA — 4 Zonen</w:t>
            </w:r>
          </w:p>
        </w:tc>
        <w:tc>
          <w:tcPr>
            <w:tcW w:type="dxa" w:w="3024"/>
          </w:tcPr>
          <w:p>
            <w:r>
              <w:rPr>
                <w:rFonts w:ascii="Times New Roman" w:hAnsi="Times New Roman"/>
                <w:sz w:val="20"/>
              </w:rPr>
              <w:t>Abs. 3–5</w:t>
            </w:r>
          </w:p>
        </w:tc>
      </w:tr>
      <w:tr>
        <w:tc>
          <w:tcPr>
            <w:tcW w:type="dxa" w:w="3024"/>
          </w:tcPr>
          <w:p>
            <w:r>
              <w:rPr>
                <w:rFonts w:ascii="Times New Roman" w:hAnsi="Times New Roman"/>
                <w:sz w:val="20"/>
              </w:rPr>
              <w:t>M3</w:t>
            </w:r>
          </w:p>
        </w:tc>
        <w:tc>
          <w:tcPr>
            <w:tcW w:type="dxa" w:w="3024"/>
          </w:tcPr>
          <w:p>
            <w:r>
              <w:rPr>
                <w:rFonts w:ascii="Times New Roman" w:hAnsi="Times New Roman"/>
                <w:sz w:val="20"/>
              </w:rPr>
              <w:t>JA — Kohlenstofffasergewebe</w:t>
            </w:r>
          </w:p>
        </w:tc>
        <w:tc>
          <w:tcPr>
            <w:tcW w:type="dxa" w:w="3024"/>
          </w:tcPr>
          <w:p>
            <w:r>
              <w:rPr>
                <w:rFonts w:ascii="Times New Roman" w:hAnsi="Times New Roman"/>
                <w:sz w:val="20"/>
              </w:rPr>
              <w:t>Abs. 7</w:t>
            </w:r>
          </w:p>
        </w:tc>
      </w:tr>
      <w:tr>
        <w:tc>
          <w:tcPr>
            <w:tcW w:type="dxa" w:w="3024"/>
          </w:tcPr>
          <w:p>
            <w:r>
              <w:rPr>
                <w:rFonts w:ascii="Times New Roman" w:hAnsi="Times New Roman"/>
                <w:sz w:val="20"/>
              </w:rPr>
              <w:t>M4</w:t>
            </w:r>
          </w:p>
        </w:tc>
        <w:tc>
          <w:tcPr>
            <w:tcW w:type="dxa" w:w="3024"/>
          </w:tcPr>
          <w:p>
            <w:r>
              <w:rPr>
                <w:rFonts w:ascii="Times New Roman" w:hAnsi="Times New Roman"/>
                <w:sz w:val="20"/>
              </w:rPr>
              <w:t>NEIN — Temperatursensor, kein kapazitiver</w:t>
            </w:r>
          </w:p>
        </w:tc>
        <w:tc>
          <w:tcPr>
            <w:tcW w:type="dxa" w:w="3024"/>
          </w:tcPr>
          <w:p>
            <w:r>
              <w:rPr>
                <w:rFonts w:ascii="Times New Roman" w:hAnsi="Times New Roman"/>
                <w:sz w:val="20"/>
              </w:rPr>
              <w:t>Abs. 8</w:t>
            </w:r>
          </w:p>
        </w:tc>
      </w:tr>
      <w:tr>
        <w:tc>
          <w:tcPr>
            <w:tcW w:type="dxa" w:w="3024"/>
          </w:tcPr>
          <w:p>
            <w:r>
              <w:rPr>
                <w:rFonts w:ascii="Times New Roman" w:hAnsi="Times New Roman"/>
                <w:sz w:val="20"/>
              </w:rPr>
              <w:t>M5</w:t>
            </w:r>
          </w:p>
        </w:tc>
        <w:tc>
          <w:tcPr>
            <w:tcW w:type="dxa" w:w="3024"/>
          </w:tcPr>
          <w:p>
            <w:r>
              <w:rPr>
                <w:rFonts w:ascii="Times New Roman" w:hAnsi="Times New Roman"/>
                <w:sz w:val="20"/>
              </w:rPr>
              <w:t>NEIN — Schleifring</w:t>
            </w:r>
          </w:p>
        </w:tc>
        <w:tc>
          <w:tcPr>
            <w:tcW w:type="dxa" w:w="3024"/>
          </w:tcPr>
          <w:p>
            <w:r>
              <w:rPr>
                <w:rFonts w:ascii="Times New Roman" w:hAnsi="Times New Roman"/>
                <w:sz w:val="20"/>
              </w:rPr>
              <w:t>Abs. 11</w:t>
            </w:r>
          </w:p>
        </w:tc>
      </w:tr>
      <w:tr>
        <w:tc>
          <w:tcPr>
            <w:tcW w:type="dxa" w:w="3024"/>
          </w:tcPr>
          <w:p>
            <w:r>
              <w:rPr>
                <w:rFonts w:ascii="Times New Roman" w:hAnsi="Times New Roman"/>
                <w:sz w:val="20"/>
              </w:rPr>
              <w:t>M6</w:t>
            </w:r>
          </w:p>
        </w:tc>
        <w:tc>
          <w:tcPr>
            <w:tcW w:type="dxa" w:w="3024"/>
          </w:tcPr>
          <w:p>
            <w:r>
              <w:rPr>
                <w:rFonts w:ascii="Times New Roman" w:hAnsi="Times New Roman"/>
                <w:sz w:val="20"/>
              </w:rPr>
              <w:t>JA</w:t>
            </w:r>
          </w:p>
        </w:tc>
        <w:tc>
          <w:tcPr>
            <w:tcW w:type="dxa" w:w="3024"/>
          </w:tcPr>
          <w:p>
            <w:r>
              <w:rPr>
                <w:rFonts w:ascii="Times New Roman" w:hAnsi="Times New Roman"/>
                <w:sz w:val="20"/>
              </w:rPr>
              <w:t>Abs. 13</w:t>
            </w:r>
          </w:p>
        </w:tc>
      </w:tr>
    </w:tbl>
    <w:p>
      <w:pPr>
        <w:jc w:val="left"/>
      </w:pPr>
      <w:r>
        <w:t>Ergebnis D4 gegen Anspruch 1: M4 und M5 fehlen → nicht neuheitsschädlich.</w:t>
      </w:r>
    </w:p>
    <w:p>
      <w:pPr>
        <w:pStyle w:val="Heading2"/>
      </w:pPr>
      <w:r>
        <w:rPr>
          <w:rFonts w:ascii="Times New Roman" w:hAnsi="Times New Roman"/>
        </w:rPr>
        <w:t>4. Prüfung der Kombination D3 + D4 auf Neuheit</w:t>
      </w:r>
    </w:p>
    <w:p>
      <w:pPr>
        <w:jc w:val="left"/>
      </w:pPr>
      <w:r>
        <w:t>Prüfgrundsatz: Für Neuheitsprüfung ist Merkmalskombination aus mehreren Dokumenten nicht zulässig (EPO G-VI, 2). Kombination ist nur für erfinderische Tätigkeit relevant (Art. 56 EPÜ). Daher: Keine Neuheitsschädlichkeit durch Kombination D3 + D4.</w:t>
      </w:r>
    </w:p>
    <w:p>
      <w:pPr>
        <w:pStyle w:val="Heading2"/>
      </w:pPr>
      <w:r>
        <w:rPr>
          <w:rFonts w:ascii="Times New Roman" w:hAnsi="Times New Roman"/>
        </w:rPr>
        <w:t>5. Prüfung D9 (WO 2016/058573 A1 — Siemens) gegen Anspruch 1</w:t>
      </w:r>
    </w:p>
    <w:p>
      <w:pPr>
        <w:jc w:val="left"/>
      </w:pPr>
      <w:r>
        <w:t>Siemens WO 2016/058573 beschreibt ein Detektionssystem für Rotorblatt-Eisbildung mittels verteilter Sensorik und Steuerlogik. Kerninhalt Anspruch 1 WO: Sensorsystem zur Eisbildungserkennung ohne explizites Heizsystem.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 D9 offenbart?</w:t>
            </w:r>
          </w:p>
        </w:tc>
      </w:tr>
      <w:tr>
        <w:tc>
          <w:tcPr>
            <w:tcW w:type="dxa" w:w="4536"/>
          </w:tcPr>
          <w:p>
            <w:r>
              <w:rPr>
                <w:rFonts w:ascii="Times New Roman" w:hAnsi="Times New Roman"/>
                <w:sz w:val="20"/>
              </w:rPr>
              <w:t>M1 (Heizsystem)</w:t>
            </w:r>
          </w:p>
        </w:tc>
        <w:tc>
          <w:tcPr>
            <w:tcW w:type="dxa" w:w="4536"/>
          </w:tcPr>
          <w:p>
            <w:r>
              <w:rPr>
                <w:rFonts w:ascii="Times New Roman" w:hAnsi="Times New Roman"/>
                <w:sz w:val="20"/>
              </w:rPr>
              <w:t>NEIN — nur Detektionssystem ohne Heizung</w:t>
            </w:r>
          </w:p>
        </w:tc>
      </w:tr>
      <w:tr>
        <w:tc>
          <w:tcPr>
            <w:tcW w:type="dxa" w:w="4536"/>
          </w:tcPr>
          <w:p>
            <w:r>
              <w:rPr>
                <w:rFonts w:ascii="Times New Roman" w:hAnsi="Times New Roman"/>
                <w:sz w:val="20"/>
              </w:rPr>
              <w:t>M4 (kapazitive Sensor)</w:t>
            </w:r>
          </w:p>
        </w:tc>
        <w:tc>
          <w:tcPr>
            <w:tcW w:type="dxa" w:w="4536"/>
          </w:tcPr>
          <w:p>
            <w:r>
              <w:rPr>
                <w:rFonts w:ascii="Times New Roman" w:hAnsi="Times New Roman"/>
                <w:sz w:val="20"/>
              </w:rPr>
              <w:t>JA — Abs. [0042]</w:t>
            </w:r>
          </w:p>
        </w:tc>
      </w:tr>
      <w:tr>
        <w:tc>
          <w:tcPr>
            <w:tcW w:type="dxa" w:w="4536"/>
          </w:tcPr>
          <w:p>
            <w:r>
              <w:rPr>
                <w:rFonts w:ascii="Times New Roman" w:hAnsi="Times New Roman"/>
                <w:sz w:val="20"/>
              </w:rPr>
              <w:t>M6 (Steuereinheit)</w:t>
            </w:r>
          </w:p>
        </w:tc>
        <w:tc>
          <w:tcPr>
            <w:tcW w:type="dxa" w:w="4536"/>
          </w:tcPr>
          <w:p>
            <w:r>
              <w:rPr>
                <w:rFonts w:ascii="Times New Roman" w:hAnsi="Times New Roman"/>
                <w:sz w:val="20"/>
              </w:rPr>
              <w:t>JA</w:t>
            </w:r>
          </w:p>
        </w:tc>
      </w:tr>
    </w:tbl>
    <w:p>
      <w:pPr>
        <w:jc w:val="left"/>
      </w:pPr>
      <w:r>
        <w:t>D9 offenbart M4 und M6, aber kein Heizsystem (M1) → nicht neuheitsschädlich für Anspruch 1 als Heizsystem.</w:t>
      </w:r>
    </w:p>
    <w:p>
      <w:pPr>
        <w:pStyle w:val="Heading2"/>
      </w:pPr>
      <w:r>
        <w:rPr>
          <w:rFonts w:ascii="Times New Roman" w:hAnsi="Times New Roman"/>
        </w:rPr>
        <w:t>6. Gesamtergebnis Neuheitsprüfung</w:t>
      </w:r>
    </w:p>
    <w:p>
      <w:pPr>
        <w:jc w:val="left"/>
      </w:pPr>
      <w:r>
        <w:t xml:space="preserve">Kein identifiziertes Einzeldokument offenbart alle 6 Merkmale des Anspruchs 1 von EP 3 218 922 B1. Das Patent ist nach aktuellem Recherchestand </w:t>
      </w:r>
      <w:r>
        <w:rPr>
          <w:b/>
        </w:rPr>
        <w:t>neuheitsbeständig</w:t>
      </w:r>
      <w:r>
        <w:t>.</w:t>
      </w:r>
    </w:p>
    <w:p>
      <w:pPr>
        <w:jc w:val="left"/>
      </w:pPr>
      <w:r>
        <w:t>Die Nichtigkeitsstrategie muss sich daher auf den Angriff über mangelnde erfinderische Tätigkeit konzentrieren (Aktenstück 15): Nachweis, dass der Fachmann ausgehend von D3 oder D4 als nächstliegendem Stand der Technik durch Hinzunahme von D6 und weiteren Dokumenten ohne erfinderisches Zutun zur Erfindung des EP 3 218 922 B1 gelangt wäre.</w:t>
      </w:r>
    </w:p>
    <w:p>
      <w:pPr>
        <w:jc w:val="left"/>
      </w:pPr>
      <w:r>
        <w:t>Empfehlung: Beauftragung eines technischen Sachverständigen (Prof. Dr.-Ing. Klaus Lammers, TU Hamburg, Windenergie-Lehrstuhl) zur technischen Fundierung des Naheliegen-Argumentationsstrangs. Kostenrahmen: ca. EUR 12.000.</w:t>
      </w:r>
    </w:p>
    <w:p>
      <w:pPr>
        <w:jc w:val="left"/>
      </w:pPr>
      <w:r>
        <w:t>Quellen: dejure.org — § 3 PatG | EPO Art. 54 EPÜ | EPO-Prüfungsrichtlinien G-VI | BGH X ZR 73/01 Kupplungsvorrichtung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