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Erfinderische Tätigkeit: Problem-Solution-Approach (PSA)</w:t>
      </w:r>
    </w:p>
    <w:p>
      <w:pPr>
        <w:jc w:val="left"/>
      </w:pPr>
      <w:r>
        <w:t>AZ: SE-2026-FTO-0717 | Bearb.: Dr. Stadter-Birkenhain | Stand: 07.03.2026</w:t>
      </w:r>
    </w:p>
    <w:p/>
    <w:p>
      <w:pPr>
        <w:pStyle w:val="Heading2"/>
      </w:pPr>
      <w:r>
        <w:rPr>
          <w:rFonts w:ascii="Times New Roman" w:hAnsi="Times New Roman"/>
        </w:rPr>
        <w:t>1. Rechtlicher Rahmen</w:t>
      </w:r>
    </w:p>
    <w:p>
      <w:pPr>
        <w:jc w:val="left"/>
      </w:pPr>
      <w:r>
        <w:t>Art. 56 EPÜ: Eine Erfindung gilt als auf erfinderischer Tätigkeit beruhend, wenn sie sich für einen Fachmann nicht in naheliegender Weise aus dem Stand der Technik ergibt.</w:t>
      </w:r>
    </w:p>
    <w:p>
      <w:pPr>
        <w:jc w:val="left"/>
      </w:pPr>
      <w:r>
        <w:t>Das EPO wendet den Problem-Solution-Approach (PSA) an (EPO-Prüfungsrichtlinien G-VII, 5):</w:t>
      </w:r>
    </w:p>
    <w:p>
      <w:pPr>
        <w:pStyle w:val="ListNumber"/>
      </w:pPr>
      <w:r>
        <w:t>Bestimmung des nächstliegenden Standes der Technik.</w:t>
      </w:r>
    </w:p>
    <w:p>
      <w:pPr>
        <w:pStyle w:val="ListNumber"/>
      </w:pPr>
      <w:r>
        <w:t>Bestimmung des objektiven technischen Problems.</w:t>
      </w:r>
    </w:p>
    <w:p>
      <w:pPr>
        <w:pStyle w:val="ListNumber"/>
      </w:pPr>
      <w:r>
        <w:t>Prüfung, ob der Fachmann, ausgehend vom nächstliegenden Stand der Technik und Kenntnis des objektiven technischen Problems, die beanspruchte Lösung in naheliegender Weise gefunden hätte.</w:t>
      </w:r>
    </w:p>
    <w:p>
      <w:pPr>
        <w:jc w:val="left"/>
      </w:pPr>
      <w:r>
        <w:t>§ 4 PatG enthält keine PSA-Vorgabe, aber BGH (X ZR 26/06 „Imitationsstreifen") wendet analogen Test an.</w:t>
      </w:r>
    </w:p>
    <w:p>
      <w:pPr>
        <w:pStyle w:val="Heading2"/>
      </w:pPr>
      <w:r>
        <w:rPr>
          <w:rFonts w:ascii="Times New Roman" w:hAnsi="Times New Roman"/>
        </w:rPr>
        <w:t>2. Nächstliegender Stand der Technik</w:t>
      </w:r>
    </w:p>
    <w:p>
      <w:pPr>
        <w:jc w:val="left"/>
      </w:pPr>
      <w:r>
        <w:t>Als nächstliegender Stand der Technik (closest prior art) wird D3 (WO 2014/044280 A1, Gamesa) herangezogen:</w:t>
      </w:r>
    </w:p>
    <w:p>
      <w:pPr>
        <w:pStyle w:val="ListBullet"/>
      </w:pPr>
      <w:r>
        <w:t>Offenbart M1, M2 (teilweise), M3, M6.</w:t>
      </w:r>
    </w:p>
    <w:p>
      <w:pPr>
        <w:pStyle w:val="ListBullet"/>
      </w:pPr>
      <w:r>
        <w:t>Unterscheidet sich von Anspruch 1 EP 3 218 922 B1 in: M2 vollständig (mind. 3 Zonen), M4 (kapazitiver Sensor), M5 (kontaktlose Übertragung).</w:t>
      </w:r>
    </w:p>
    <w:p>
      <w:pPr>
        <w:pStyle w:val="ListBullet"/>
      </w:pPr>
      <w:r>
        <w:t>Hat die meisten gemeinsamen Merkmale mit Anspruch 1.</w:t>
      </w:r>
    </w:p>
    <w:p>
      <w:pPr>
        <w:pStyle w:val="Heading2"/>
      </w:pPr>
      <w:r>
        <w:rPr>
          <w:rFonts w:ascii="Times New Roman" w:hAnsi="Times New Roman"/>
        </w:rPr>
        <w:t>3. Objektives Technisches Problem</w:t>
      </w:r>
    </w:p>
    <w:p>
      <w:pPr>
        <w:jc w:val="left"/>
      </w:pPr>
      <w:r>
        <w:t>Ausgehend von D3 (Gamesa) besteht das technische Problem, das durch die Erfindung gelöst wird, darin:</w:t>
      </w:r>
    </w:p>
    <w:p>
      <w:pPr>
        <w:pStyle w:val="ListBullet"/>
      </w:pPr>
      <w:r>
        <w:t>Erhöhung der Zonengenauigkeit des Heizsystems (mind. 3 differentielle Zonen).</w:t>
      </w:r>
    </w:p>
    <w:p>
      <w:pPr>
        <w:pStyle w:val="ListBullet"/>
      </w:pPr>
      <w:r>
        <w:t>Präzisierung der Eisdetektion durch direkte Eisdickenbestimmung statt indirekter Temperatursensorik.</w:t>
      </w:r>
    </w:p>
    <w:p>
      <w:pPr>
        <w:pStyle w:val="ListBullet"/>
      </w:pPr>
      <w:r>
        <w:t>Vermeidung von Verschleiß am Schleifringsystem durch wartungsarme Energieübertragung.</w:t>
      </w:r>
    </w:p>
    <w:p>
      <w:pPr>
        <w:jc w:val="left"/>
      </w:pPr>
      <w:r>
        <w:t>Formulierung des objektiven technischen Problems: „Bereitstellung eines verbesserten elektrothermischen Rotorblatt-Heizsystems mit präziserer Eisdetektion und wartungsärmerer Energieübertragung."</w:t>
      </w:r>
    </w:p>
    <w:p>
      <w:pPr>
        <w:pStyle w:val="Heading2"/>
      </w:pPr>
      <w:r>
        <w:rPr>
          <w:rFonts w:ascii="Times New Roman" w:hAnsi="Times New Roman"/>
        </w:rPr>
        <w:t>4. Naheliegen-Prüfung (Could-Would-Approach)</w:t>
      </w:r>
    </w:p>
    <w:p>
      <w:pPr>
        <w:pStyle w:val="Heading3"/>
      </w:pPr>
      <w:r>
        <w:rPr>
          <w:rFonts w:ascii="Times New Roman" w:hAnsi="Times New Roman"/>
        </w:rPr>
        <w:t>4.1 Merkmal M4 (Kapazitive Sensorik)</w:t>
      </w:r>
    </w:p>
    <w:p>
      <w:pPr>
        <w:jc w:val="left"/>
      </w:pPr>
      <w:r>
        <w:t>Kennt der Fachmann kapazitive Sensorik für Rotorblatt-Eismessung vor 22.06.2017?</w:t>
      </w:r>
    </w:p>
    <w:p>
      <w:pPr>
        <w:jc w:val="left"/>
      </w:pPr>
      <w:r>
        <w:t>Ja: D6 (Fakorede et al. 2016) offenbart kapazitive Messverfahren für Eisdicke an Rotorblättern. D9 (WO 2016/058573 Siemens) beschreibt Sensorsystem mit verteilten Sensoren. Der Fachmann würde kapazitive Direktmessung als technisch überlegene Alternative zu Temperaturmessung kennen.</w:t>
      </w:r>
    </w:p>
    <w:p>
      <w:pPr>
        <w:jc w:val="left"/>
      </w:pPr>
      <w:r>
        <w:t>Würde der Fachmann kapazitive Sensorik aus D6 in D3 integrieren? — „Would" Teil: Die Aufgabenstellung ist explizit bessere Eisdetektion. D6 liefert direkt die Lösung. Der Fachmann würde D6 als naheliegende Lösung für das Eisdetektionsproblem heranziehen.</w:t>
      </w:r>
    </w:p>
    <w:p>
      <w:pPr>
        <w:pStyle w:val="Heading3"/>
      </w:pPr>
      <w:r>
        <w:rPr>
          <w:rFonts w:ascii="Times New Roman" w:hAnsi="Times New Roman"/>
        </w:rPr>
        <w:t>4.2 Merkmal M5 (Kontaktlose Energieübertragung)</w:t>
      </w:r>
    </w:p>
    <w:p>
      <w:pPr>
        <w:jc w:val="left"/>
      </w:pPr>
      <w:r>
        <w:t>Kennt der Fachmann induktive Energieübertragung für rotierende Maschinen?</w:t>
      </w:r>
    </w:p>
    <w:p>
      <w:pPr>
        <w:jc w:val="left"/>
      </w:pPr>
      <w:r>
        <w:t>Ja: Induktive Rotationskoppler sind im Stand der Technik für Windkraftanlagen bekannt (z.B. WO 2010/086406 A1 — ABB, induktiver Übertrager für WKA-Komponenten). Schleifring-Probleme (Verschleiß, Wartung) sind im Fachbereich bekannt.</w:t>
      </w:r>
    </w:p>
    <w:p>
      <w:pPr>
        <w:jc w:val="left"/>
      </w:pPr>
      <w:r>
        <w:t>Würde der Fachmann kontaktlose Übertragung als Lösung für Schleifring-Probleme wählen? — Ja: Dies ist eine naheliegende technische Weiterentwicklung, die der Fachmann aus dem allgemeinen Stand der Technik kennt und mit der er das Wartungsproblem des Schleifrings lösen würde.</w:t>
      </w:r>
    </w:p>
    <w:p>
      <w:pPr>
        <w:pStyle w:val="Heading3"/>
      </w:pPr>
      <w:r>
        <w:rPr>
          <w:rFonts w:ascii="Times New Roman" w:hAnsi="Times New Roman"/>
        </w:rPr>
        <w:t>4.3 Merkmal M2 (Vollständig — mind. 3 Zonen)</w:t>
      </w:r>
    </w:p>
    <w:p>
      <w:pPr>
        <w:jc w:val="left"/>
      </w:pPr>
      <w:r>
        <w:t>D4 (CSIC CN 106 121 921 A) offenbart 4 Heizzonen. Der Fachmann würde — ausgehend von D3 (2 Zonen) und mit Kenntnis von D4 (4 Zonen) — mindestens 3 Zonen als naheliegend ansehen.</w:t>
      </w:r>
    </w:p>
    <w:p>
      <w:pPr>
        <w:pStyle w:val="Heading2"/>
      </w:pPr>
      <w:r>
        <w:rPr>
          <w:rFonts w:ascii="Times New Roman" w:hAnsi="Times New Roman"/>
        </w:rPr>
        <w:t>5. Gesamtergebnis PSA-Analyse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Unterschiedsmerkmal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Stand-der-Technik-Beleg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Naheliegen?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M2 vollständig (≥3 Zonen)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D4 (CSIC 2016)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bekannte Lösung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M4 (Kapazitive Sensorik)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D6 (Fakorede 2016) + D9 (Siemens 2016)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naheliegend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M5 (Kontaktlose Übertragung)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 2010/086406 A1 (ABB)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— bekannte Alternative</w:t>
            </w:r>
          </w:p>
        </w:tc>
      </w:tr>
    </w:tbl>
    <w:p>
      <w:pPr>
        <w:jc w:val="left"/>
      </w:pPr>
      <w:r>
        <w:t>Vorläufige Einschätzung PSA: Die Kombination D3 + D4 + D6 + WO 2010/086406 legt nahe, dass der Fachmann ausgehend von D3 ohne erfinderisches Zutun zum Gegenstand von Anspruch 1 des EP 3 218 922 B1 gelangt wäre.</w:t>
      </w:r>
    </w:p>
    <w:p>
      <w:pPr>
        <w:pStyle w:val="Heading2"/>
      </w:pPr>
      <w:r>
        <w:rPr>
          <w:rFonts w:ascii="Times New Roman" w:hAnsi="Times New Roman"/>
        </w:rPr>
        <w:t>6. Risikobewertung Nichtigkeitsklage</w:t>
      </w:r>
    </w:p>
    <w:p>
      <w:pPr>
        <w:jc w:val="left"/>
      </w:pPr>
      <w:r>
        <w:t>Erfolgsaussichten Nichtigkeitsklage BPatG auf Basis PSA: 50–60 % (mittel-hoch). Faktoren:</w:t>
      </w:r>
    </w:p>
    <w:p>
      <w:pPr>
        <w:pStyle w:val="ListBullet"/>
      </w:pPr>
      <w:r>
        <w:t>Zugunsten: Alle Teilmerkmale im Stand der Technik vorhanden.</w:t>
      </w:r>
    </w:p>
    <w:p>
      <w:pPr>
        <w:pStyle w:val="ListBullet"/>
      </w:pPr>
      <w:r>
        <w:t>Gegen: EPO hat Patent trotz Entgegenhaltungen erteilt (Einspruch Nordex erfolglos); Patentinhaber kann beschränkten Anspruch 1' anbieten.</w:t>
      </w:r>
    </w:p>
    <w:p>
      <w:pPr>
        <w:pStyle w:val="ListBullet"/>
      </w:pPr>
      <w:r>
        <w:t>Risiko: Beschränkung des Anspruchs durch Vellbruck im BPatG-Verfahren auf engeres Merkmal (z.B. Kapazitivität + CFK + induktiv als untrennbare Kombination), die in dieser Kombination nicht explizit im SdT vorhanden ist.</w:t>
      </w:r>
    </w:p>
    <w:p>
      <w:pPr>
        <w:jc w:val="left"/>
      </w:pPr>
      <w:r>
        <w:t>Kosten Nichtigkeitsklage BPatG: ca. EUR 80.000–120.000 (zwei Instanzen: BPatG + BGH).</w:t>
      </w:r>
    </w:p>
    <w:p>
      <w:pPr>
        <w:jc w:val="left"/>
      </w:pPr>
      <w:r>
        <w:t>Quellen: EPO PSA-Richtlinien G-VII | dejure.org — § 4 PatG | EPO Art. 56 EPÜ | BGH X ZR 26/06 Imitationsstreifen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