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— FTO-Risikobewertung: Ampelsystem</w:t>
      </w:r>
    </w:p>
    <w:p>
      <w:pPr>
        <w:jc w:val="left"/>
      </w:pPr>
      <w:r>
        <w:t>AZ: SE-2026-FTO-0717 | Bearb.: Dr. Stadter-Birkenhain | Stand: 15.03.2026</w:t>
      </w:r>
    </w:p>
    <w:p/>
    <w:p>
      <w:pPr>
        <w:pStyle w:val="Heading2"/>
      </w:pPr>
      <w:r>
        <w:rPr>
          <w:rFonts w:ascii="Times New Roman" w:hAnsi="Times New Roman"/>
        </w:rPr>
        <w:t>1. Bewertungsschema</w:t>
      </w:r>
    </w:p>
    <w:p>
      <w:pPr>
        <w:jc w:val="left"/>
      </w:pPr>
      <w:r>
        <w:t>Das Ampelsystem bewertet das FTO-Risiko je Patent und Rechtsraum auf drei Stufen:</w:t>
      </w:r>
    </w:p>
    <w:p>
      <w:pPr>
        <w:pStyle w:val="ListBullet"/>
      </w:pPr>
      <w:r>
        <w:rPr>
          <w:b/>
        </w:rPr>
        <w:t>ROT</w:t>
      </w:r>
      <w:r>
        <w:t>: Direktes Verletzungsrisiko. Vermarktung ohne Maßnahme (Lizenz / Redesign / Nichtigkeitsklage) nicht empfohlen.</w:t>
      </w:r>
    </w:p>
    <w:p>
      <w:pPr>
        <w:pStyle w:val="ListBullet"/>
      </w:pPr>
      <w:r>
        <w:rPr>
          <w:b/>
        </w:rPr>
        <w:t>GELB</w:t>
      </w:r>
      <w:r>
        <w:t>: Mögliche Überschneidung — weitere Prüfung erforderlich oder Verletzungswahrscheinlichkeit unter 40 %. Vermarktung mit erhöhter Vorsicht möglich.</w:t>
      </w:r>
    </w:p>
    <w:p>
      <w:pPr>
        <w:pStyle w:val="ListBullet"/>
      </w:pPr>
      <w:r>
        <w:rPr>
          <w:b/>
        </w:rPr>
        <w:t>GRÜN</w:t>
      </w:r>
      <w:r>
        <w:t>: Kein erkennbares Verletzungsrisiko. FTO bestätigt für dieses Patent.</w:t>
      </w:r>
    </w:p>
    <w:p>
      <w:pPr>
        <w:pStyle w:val="Heading2"/>
      </w:pPr>
      <w:r>
        <w:rPr>
          <w:rFonts w:ascii="Times New Roman" w:hAnsi="Times New Roman"/>
        </w:rPr>
        <w:t>2. Ampelmatrix: Haupthindernispatente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Patent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Inhaber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DE/EP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US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CN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EP 3 218 922 B1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Vellbruck Energietechnik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DE 10 2014 223 614 B4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Nordex Energy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EP 2 920 455 B1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Nordex Energy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EP 3 127 458 B1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Vellbruck Energietechnik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US 10 612 514 B2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Vestas Wind Systems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US 11 002 248 B2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Vestas Wind Systems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US 10 100 817 B2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General Electric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CN 116 085 192 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Ming Yang Smart Energy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ROT*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ROT*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CN 108 443 075 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Goldwind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CN 110 159 514 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Goldwind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n.a.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</w:tbl>
    <w:p>
      <w:pPr>
        <w:jc w:val="left"/>
      </w:pPr>
      <w:r>
        <w:t>*ROT vorläufig — Bestätigung durch CN-Patentanwalt ausstehend</w:t>
      </w:r>
    </w:p>
    <w:p>
      <w:pPr>
        <w:pStyle w:val="Heading2"/>
      </w:pPr>
      <w:r>
        <w:rPr>
          <w:rFonts w:ascii="Times New Roman" w:hAnsi="Times New Roman"/>
        </w:rPr>
        <w:t>3. Marktübersicht FTO-Status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Markt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FTO-Status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Kritisches Patent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Handlungsbedarf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Deutschland / EU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 3 218 922 B1 (Vellbruck)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Sofort: Lizenz oder Nichtigkeitsklage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 10 612 514 B2 + US 11 002 248 B2 (Vestas)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Sofort: Lizenz oder IPR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China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GELB-ROT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CN 116 085 192 B (Ming Yang, vorläufig)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CN-Anwalt: Volltext-Analyse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Nordische Länder (NO, SE, DK, FI)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 3 218 922 B1 (EP-validiert)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Gleiche Maßnahmen wie 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Großbritannien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 3 218 922 B1 (GB-validiert)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UKIPO-FTO 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 EU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 3 218 922 B1 (teils validiert)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Validiertenliste prüfen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Risikoranking der kritischen Patente</w:t>
      </w:r>
    </w:p>
    <w:p>
      <w:pPr>
        <w:pStyle w:val="Heading3"/>
      </w:pPr>
      <w:r>
        <w:rPr>
          <w:rFonts w:ascii="Times New Roman" w:hAnsi="Times New Roman"/>
        </w:rPr>
        <w:t>Rang 1: EP 3 218 922 B1 (Vellbruck) — KRITISCHSTES PATENT</w:t>
      </w:r>
    </w:p>
    <w:p>
      <w:pPr>
        <w:pStyle w:val="ListBullet"/>
      </w:pPr>
      <w:r>
        <w:t>Wahrscheinlichkeit Verletzung: 85–90 %</w:t>
      </w:r>
    </w:p>
    <w:p>
      <w:pPr>
        <w:pStyle w:val="ListBullet"/>
      </w:pPr>
      <w:r>
        <w:t>Räumliche Wirkung: DE, NL, DK, SE, NO, FI, FR, GB und 8 weitere EP-Staaten</w:t>
      </w:r>
    </w:p>
    <w:p>
      <w:pPr>
        <w:pStyle w:val="ListBullet"/>
      </w:pPr>
      <w:r>
        <w:t>Schutzende: 25.05.2038 (Anmeldetag EP 25.05.2018 + 20 Jahre)</w:t>
      </w:r>
    </w:p>
    <w:p>
      <w:pPr>
        <w:pStyle w:val="ListBullet"/>
      </w:pPr>
      <w:r>
        <w:t>Marktvolumen betroffen: gesamter EU-Kernmarkt</w:t>
      </w:r>
    </w:p>
    <w:p>
      <w:pPr>
        <w:pStyle w:val="ListBullet"/>
      </w:pPr>
      <w:r>
        <w:t>Abwehroption: Lizenz (FRAND signalisiert) oder Nichtigkeitsklage (50–60 % Erfolg)</w:t>
      </w:r>
    </w:p>
    <w:p>
      <w:pPr>
        <w:pStyle w:val="Heading3"/>
      </w:pPr>
      <w:r>
        <w:rPr>
          <w:rFonts w:ascii="Times New Roman" w:hAnsi="Times New Roman"/>
        </w:rPr>
        <w:t>Rang 2: US 10 612 514 B2 (Vestas)</w:t>
      </w:r>
    </w:p>
    <w:p>
      <w:pPr>
        <w:pStyle w:val="ListBullet"/>
      </w:pPr>
      <w:r>
        <w:t>Wahrscheinlichkeit Verletzung: 80–85 % (US-Markt)</w:t>
      </w:r>
    </w:p>
    <w:p>
      <w:pPr>
        <w:pStyle w:val="ListBullet"/>
      </w:pPr>
      <w:r>
        <w:t>Schutzende: ca. 08.12.2034</w:t>
      </w:r>
    </w:p>
    <w:p>
      <w:pPr>
        <w:pStyle w:val="ListBullet"/>
      </w:pPr>
      <w:r>
        <w:t>Marktvolumen: USA (geplanter Markt ab Q1 2027)</w:t>
      </w:r>
    </w:p>
    <w:p>
      <w:pPr>
        <w:pStyle w:val="ListBullet"/>
      </w:pPr>
      <w:r>
        <w:t>Abwehroption: Lizenz Vestas oder IPR</w:t>
      </w:r>
    </w:p>
    <w:p>
      <w:pPr>
        <w:pStyle w:val="Heading3"/>
      </w:pPr>
      <w:r>
        <w:rPr>
          <w:rFonts w:ascii="Times New Roman" w:hAnsi="Times New Roman"/>
        </w:rPr>
        <w:t>Rang 3: US 11 002 248 B2 (Vestas)</w:t>
      </w:r>
    </w:p>
    <w:p>
      <w:pPr>
        <w:pStyle w:val="ListBullet"/>
      </w:pPr>
      <w:r>
        <w:t>Wahrscheinlichkeit Verletzung: 75–80 % (US-Markt)</w:t>
      </w:r>
    </w:p>
    <w:p>
      <w:pPr>
        <w:pStyle w:val="ListBullet"/>
      </w:pPr>
      <w:r>
        <w:t>Schutzende: ca. 14.12.2038</w:t>
      </w:r>
    </w:p>
    <w:p>
      <w:pPr>
        <w:pStyle w:val="ListBullet"/>
      </w:pPr>
      <w:r>
        <w:t>Kumuliert mit US 10 612 514 B2 — beide Vestas-Patente treffen IceFree v3 US-Variante</w:t>
      </w:r>
    </w:p>
    <w:p>
      <w:pPr>
        <w:pStyle w:val="Heading3"/>
      </w:pPr>
      <w:r>
        <w:rPr>
          <w:rFonts w:ascii="Times New Roman" w:hAnsi="Times New Roman"/>
        </w:rPr>
        <w:t>Rang 4: CN 116 085 192 B (Ming Yang — vorläufig ROT)</w:t>
      </w:r>
    </w:p>
    <w:p>
      <w:pPr>
        <w:pStyle w:val="ListBullet"/>
      </w:pPr>
      <w:r>
        <w:t>Wahrscheinlichkeit Verletzung: 60 % vorläufig (CN-Patentanwalt-Bestätigung ausstehend)</w:t>
      </w:r>
    </w:p>
    <w:p>
      <w:pPr>
        <w:pStyle w:val="ListBullet"/>
      </w:pPr>
      <w:r>
        <w:t>Schutzende: ca. 08.11.2042</w:t>
      </w:r>
    </w:p>
    <w:p>
      <w:pPr>
        <w:pStyle w:val="ListBullet"/>
      </w:pPr>
      <w:r>
        <w:t>Marktvolumen: China (geplant ab Q3 2027)</w:t>
      </w:r>
    </w:p>
    <w:p>
      <w:pPr>
        <w:pStyle w:val="Heading2"/>
      </w:pPr>
      <w:r>
        <w:rPr>
          <w:rFonts w:ascii="Times New Roman" w:hAnsi="Times New Roman"/>
        </w:rPr>
        <w:t>5. Zeitachse Handlungsbedarf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FRAND-Lizenzangebot an Vellbruck annehmen oder ablehnen (Aktenstück 20)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Vorstandsbeschluss Markteintritts-Strategie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IPR-Antrag USPTO für US-01 (falls US-Markteintritt geplant)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Ergebnis CN-Patentanwalt Ming Yang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Endentscheidung Markteintritt Q3 2026 oder Verschiebung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01.09.2026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Nichtigkeitsklage BPatG einreichen (falls Vellbruck-Verhandlung scheitert)</w:t>
            </w:r>
          </w:p>
        </w:tc>
      </w:tr>
    </w:tbl>
    <w:p>
      <w:pPr>
        <w:jc w:val="left"/>
      </w:pPr>
      <w:r>
        <w:t>Quellen: DPMA BPatG | EPO | USPTO | dejure.org — § 139 PatG | dejure.org — § 140a PatG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