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Patentlandschaft 2026: Überblick Rotorblattheizung Windkraft</w:t>
      </w:r>
    </w:p>
    <w:p>
      <w:pPr>
        <w:jc w:val="left"/>
      </w:pPr>
      <w:r>
        <w:t>AZ: SE-2026-FTO-0717 | Bearb.: Klose / Dr. Eppendorfer | Stand: 25.03.2026</w:t>
      </w:r>
    </w:p>
    <w:p/>
    <w:p>
      <w:pPr>
        <w:pStyle w:val="Heading2"/>
      </w:pPr>
      <w:r>
        <w:rPr>
          <w:rFonts w:ascii="Times New Roman" w:hAnsi="Times New Roman"/>
        </w:rPr>
        <w:t>1. Technologiefeld und Zeitraum</w:t>
      </w:r>
    </w:p>
    <w:p>
      <w:pPr>
        <w:jc w:val="left"/>
      </w:pPr>
      <w:r>
        <w:t>Patentlandschaftsanalyse für das Technologiefeld „elektrothermische und elektromechanische Rotorblattheizung und -enteisung für Windkraftanlagen" (IPC F03D 80/40 + H05B-Subklassen). Zeitraum: 2010–2026. Datenquelle: Espacenet, DEPATISnet, Derwent Innovation.</w:t>
      </w:r>
    </w:p>
    <w:p>
      <w:pPr>
        <w:pStyle w:val="Heading2"/>
      </w:pPr>
      <w:r>
        <w:rPr>
          <w:rFonts w:ascii="Times New Roman" w:hAnsi="Times New Roman"/>
        </w:rPr>
        <w:t>2. Anmeldetrend 2010–2026</w:t>
      </w:r>
    </w:p>
    <w:p>
      <w:pPr>
        <w:jc w:val="left"/>
      </w:pPr>
      <w:r>
        <w:t>Die Patentanmeldungen im Bereich Rotorblatt-Enteisungstechnologie für Windkraft haben seit 2018 stark zugenommen.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Anmeldungen weltweit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Davon CN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Davon EP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Davon 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</w:tr>
    </w:tbl>
    <w:p>
      <w:pPr>
        <w:jc w:val="left"/>
      </w:pPr>
      <w:r>
        <w:t>Treiber des Wachstums: Politische Targets (EU Green Deal, IEA Net Zero 2050), steigende Windparkinstallationen in Eisregionen (Nordsee, Skandinavien, CN-Nordprovinzen).</w:t>
      </w:r>
    </w:p>
    <w:p>
      <w:pPr>
        <w:pStyle w:val="Heading2"/>
      </w:pPr>
      <w:r>
        <w:rPr>
          <w:rFonts w:ascii="Times New Roman" w:hAnsi="Times New Roman"/>
        </w:rPr>
        <w:t>3. Top-Anmelder weltweit (2010–2026)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Anmeldungen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Hauptrechtsräume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Goldwind (CN)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CN, EP, 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Vestas (DK)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EP, US, WO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Gamesa (DE/ES)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EP, US, WO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Ming Yang (CN)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CN, EP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 Vernova (US)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US, EP, WO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Nordex Energy (DE)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EP, 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Envision Energy (CN)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CN, EP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Energietechnik (DE)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EP, 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Windsysteme Norderhof AG (DE)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DE, EP (anhängig)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Fraunhofer-Gesellschaft (DE)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DE, EP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Technologische Cluster</w:t>
      </w:r>
    </w:p>
    <w:p>
      <w:pPr>
        <w:pStyle w:val="Heading3"/>
      </w:pPr>
      <w:r>
        <w:rPr>
          <w:rFonts w:ascii="Times New Roman" w:hAnsi="Times New Roman"/>
        </w:rPr>
        <w:t>Cluster I: Thermische Heizsysteme (dominant, 62 % aller Anmeldungen)</w:t>
      </w:r>
    </w:p>
    <w:p>
      <w:pPr>
        <w:jc w:val="left"/>
      </w:pPr>
      <w:r>
        <w:t>Untercluster: Metallfolie-Heizer (älter, rückläufig), Kohlefaser-Heizer (dominant ab 2016, wachsend), keramische Heizer (Nische).</w:t>
      </w:r>
    </w:p>
    <w:p>
      <w:pPr>
        <w:pStyle w:val="Heading3"/>
      </w:pPr>
      <w:r>
        <w:rPr>
          <w:rFonts w:ascii="Times New Roman" w:hAnsi="Times New Roman"/>
        </w:rPr>
        <w:t>Cluster II: Mechanische Enteisung (17 %)</w:t>
      </w:r>
    </w:p>
    <w:p>
      <w:pPr>
        <w:jc w:val="left"/>
      </w:pPr>
      <w:r>
        <w:t>Pneumatische Impulse, Ultraschall-Enteisungssysteme, piezoelektrische Aktoren. Hauptanmelder: Siemens Gamesa, GE.</w:t>
      </w:r>
    </w:p>
    <w:p>
      <w:pPr>
        <w:pStyle w:val="Heading3"/>
      </w:pPr>
      <w:r>
        <w:rPr>
          <w:rFonts w:ascii="Times New Roman" w:hAnsi="Times New Roman"/>
        </w:rPr>
        <w:t>Cluster III: Hydrophobe Beschichtungen + Chemisch (8 %)</w:t>
      </w:r>
    </w:p>
    <w:p>
      <w:pPr>
        <w:jc w:val="left"/>
      </w:pPr>
      <w:r>
        <w:t>Anti-icing-Beschichtungen, Nanopartikel-Oberflächen. Hauptanmelder: Fraunhofer, Aker Solutions.</w:t>
      </w:r>
    </w:p>
    <w:p>
      <w:pPr>
        <w:pStyle w:val="Heading3"/>
      </w:pPr>
      <w:r>
        <w:rPr>
          <w:rFonts w:ascii="Times New Roman" w:hAnsi="Times New Roman"/>
        </w:rPr>
        <w:t>Cluster IV: Hybrid-Systeme (8 %)</w:t>
      </w:r>
    </w:p>
    <w:p>
      <w:pPr>
        <w:jc w:val="left"/>
      </w:pPr>
      <w:r>
        <w:t>Kombination Heizung + mechanisch. Hauptanmelder: Vestas, Nordex.</w:t>
      </w:r>
    </w:p>
    <w:p>
      <w:pPr>
        <w:pStyle w:val="Heading3"/>
      </w:pPr>
      <w:r>
        <w:rPr>
          <w:rFonts w:ascii="Times New Roman" w:hAnsi="Times New Roman"/>
        </w:rPr>
        <w:t>Cluster V: Detektion/Software (5 %)</w:t>
      </w:r>
    </w:p>
    <w:p>
      <w:pPr>
        <w:jc w:val="left"/>
      </w:pPr>
      <w:r>
        <w:t>Algorithmen, ML-Eismodelle, Sensorik. Schnell wachsendes Segment ab 2020.</w:t>
      </w:r>
    </w:p>
    <w:p>
      <w:pPr>
        <w:pStyle w:val="Heading2"/>
      </w:pPr>
      <w:r>
        <w:rPr>
          <w:rFonts w:ascii="Times New Roman" w:hAnsi="Times New Roman"/>
        </w:rPr>
        <w:t>5. Geografische Schutzrechtskonzentration</w:t>
      </w:r>
    </w:p>
    <w:p>
      <w:pPr>
        <w:jc w:val="left"/>
      </w:pPr>
      <w:r>
        <w:t>Für Windkraftbetreiber in Norddeutschland und Nordseeregion relevante Aktiv-Patente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Patentinhaber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EP-Erteilungen aktiv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Kernbedrohung für IceFree v3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Vellbruck Energietechnik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3 218 922 B1 — 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Vestas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2 462 344 B1 — 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Siemens Gamesa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3 530 943 B1 — 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2 920 455 B1 — 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3 366 918 B1 — 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Patentlandschaft — Bewertungsdiagramm (verbal)</w:t>
      </w:r>
    </w:p>
    <w:p>
      <w:pPr>
        <w:jc w:val="left"/>
      </w:pPr>
      <w:r>
        <w:t>Darstellung als technologische Heatmap (konzeptionell):</w:t>
      </w:r>
    </w:p>
    <w:p>
      <w:pPr>
        <w:pStyle w:val="ListBullet"/>
      </w:pPr>
      <w:r>
        <w:rPr>
          <w:b/>
        </w:rPr>
        <w:t>Heißes Zentrum</w:t>
      </w:r>
      <w:r>
        <w:t xml:space="preserve"> (ROT): Kohlefaser-Thermisch + Kapazitiver Sensor + Induktiv = Vellbruck EP 3 218 922 B1</w:t>
      </w:r>
    </w:p>
    <w:p>
      <w:pPr>
        <w:pStyle w:val="ListBullet"/>
      </w:pPr>
      <w:r>
        <w:rPr>
          <w:b/>
        </w:rPr>
        <w:t>Warme Zone</w:t>
      </w:r>
      <w:r>
        <w:t xml:space="preserve"> (GELB): Metallfolie-Thermisch + Schleifring + Temperatursensor = Vestas EP 2 462 344</w:t>
      </w:r>
    </w:p>
    <w:p>
      <w:pPr>
        <w:pStyle w:val="ListBullet"/>
      </w:pPr>
      <w:r>
        <w:rPr>
          <w:b/>
        </w:rPr>
        <w:t>Kühlere Zonen</w:t>
      </w:r>
      <w:r>
        <w:t xml:space="preserve"> (GRÜN): Mechanische Enteisung, keramische Heizer, chemische Systeme</w:t>
      </w:r>
    </w:p>
    <w:p>
      <w:pPr>
        <w:pStyle w:val="Heading2"/>
      </w:pPr>
      <w:r>
        <w:rPr>
          <w:rFonts w:ascii="Times New Roman" w:hAnsi="Times New Roman"/>
        </w:rPr>
        <w:t>7. Entwicklungstrend 2026–2030</w:t>
      </w:r>
    </w:p>
    <w:p>
      <w:pPr>
        <w:jc w:val="left"/>
      </w:pPr>
      <w:r>
        <w:t>Erwartete Anmeldefelder auf Basis von Voranmeldungen und FuE-Trends:</w:t>
      </w:r>
    </w:p>
    <w:p>
      <w:pPr>
        <w:pStyle w:val="ListNumber"/>
      </w:pPr>
      <w:r>
        <w:t>ML-basierte prädiktive Heizsteuerung (CN-Anmelder dominant)</w:t>
      </w:r>
    </w:p>
    <w:p>
      <w:pPr>
        <w:pStyle w:val="ListNumber"/>
      </w:pPr>
      <w:r>
        <w:t>Batterie-buffered heating (Netzunabhängigkeit)</w:t>
      </w:r>
    </w:p>
    <w:p>
      <w:pPr>
        <w:pStyle w:val="ListNumber"/>
      </w:pPr>
      <w:r>
        <w:t>Drone-based icing monitoring (emergent)</w:t>
      </w:r>
    </w:p>
    <w:p>
      <w:pPr>
        <w:pStyle w:val="ListNumber"/>
      </w:pPr>
      <w:r>
        <w:t>Self-healing blade coatings (Fraunhofer, RWTH)</w:t>
      </w:r>
    </w:p>
    <w:p>
      <w:pPr>
        <w:jc w:val="left"/>
      </w:pPr>
      <w:r>
        <w:t>Für den Mandanten bedeutsam: Der Schutzraum für „prädiktive ML-Steuerung" ist noch nicht dicht besetzt — eigene Patentanmeldung für IceFree-v3-Algorithmus (DE 10 2022 134 511 A1) sollte beschleunigt verfolgt werden.</w:t>
      </w:r>
    </w:p>
    <w:p>
      <w:pPr>
        <w:jc w:val="left"/>
      </w:pPr>
      <w:r>
        <w:t>Quellen: EPO Espacenet Patent Landscape | DPMA Statistik | WIPO Patent Landscape Report Methodology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