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Konkurrenzanalyse und Portfoliostrategien: Vestas, Goldwind, Siemens Gamesa</w:t>
      </w:r>
    </w:p>
    <w:p>
      <w:pPr>
        <w:jc w:val="left"/>
      </w:pPr>
      <w:r>
        <w:t>AZ: SE-2026-FTO-0717 | Bearb.: Dr. Eppendorfer | Stand: 29.03.2026</w:t>
      </w:r>
    </w:p>
    <w:p/>
    <w:p>
      <w:pPr>
        <w:pStyle w:val="Heading2"/>
      </w:pPr>
      <w:r>
        <w:rPr>
          <w:rFonts w:ascii="Times New Roman" w:hAnsi="Times New Roman"/>
        </w:rPr>
        <w:t>1. Vestas Wind Systems A/S</w:t>
      </w:r>
    </w:p>
    <w:p>
      <w:pPr>
        <w:pStyle w:val="Heading3"/>
      </w:pPr>
      <w:r>
        <w:rPr>
          <w:rFonts w:ascii="Times New Roman" w:hAnsi="Times New Roman"/>
        </w:rPr>
        <w:t>1.1 Patentportfolio Enteisung</w:t>
      </w:r>
    </w:p>
    <w:p>
      <w:pPr>
        <w:jc w:val="left"/>
      </w:pPr>
      <w:r>
        <w:t>Vestas hält weltweit ca. 89 aktive Patentfamilien im Bereich Rotorblatt-Enteisung/-Heizung (Stand Q1 2026). Kern-EP-Erteilungen (aktiv):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Patent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Titel (Kurzform)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Erteilung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 2 462 344 B1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Widerstandsheizung mit Metallfolie-Heizer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18.07.2018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 3 232 047 B1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Heizzonenmanagementsystem mit Schnittstellenmodul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12.04.2022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 3 719 305 B1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Anti-icing-Testverfahren im Betrieb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08.03.2023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Aktiv</w:t>
            </w:r>
          </w:p>
        </w:tc>
      </w:tr>
    </w:tbl>
    <w:p>
      <w:pPr>
        <w:jc w:val="left"/>
      </w:pPr>
      <w:r>
        <w:t>US-Kernpatente (aktiv):</w:t>
      </w:r>
    </w:p>
    <w:p>
      <w:pPr>
        <w:pStyle w:val="ListBullet"/>
      </w:pPr>
      <w:r>
        <w:t>US 10 612 514 B2 (FTO-kritisch, Rang 2)</w:t>
      </w:r>
    </w:p>
    <w:p>
      <w:pPr>
        <w:pStyle w:val="ListBullet"/>
      </w:pPr>
      <w:r>
        <w:t>US 11 002 248 B2 (FTO-kritisch, Rang 3)</w:t>
      </w:r>
    </w:p>
    <w:p>
      <w:pPr>
        <w:pStyle w:val="ListBullet"/>
      </w:pPr>
      <w:r>
        <w:t>US 10 808 677 B2 (Heizungssteuerung, GELB)</w:t>
      </w:r>
    </w:p>
    <w:p>
      <w:pPr>
        <w:pStyle w:val="Heading3"/>
      </w:pPr>
      <w:r>
        <w:rPr>
          <w:rFonts w:ascii="Times New Roman" w:hAnsi="Times New Roman"/>
        </w:rPr>
        <w:t>1.2 Vestas-Strategie</w:t>
      </w:r>
    </w:p>
    <w:p>
      <w:pPr>
        <w:jc w:val="left"/>
      </w:pPr>
      <w:r>
        <w:t>Vestas verfolgt eine klassische Defensive-Patent-Strategie: Schutz eigener Produkte, keine aggressive Lizenzierung gegenüber Zulieferern. Keine öffentlich bekannten Patentrechtsverletzungsklagen gegen Wettbewerber im Enteisungsbereich (2020–2026). Vestas-Portfolio dient primär als Freedom-to-Operate-Absicherung für eigene Produkte.</w:t>
      </w:r>
    </w:p>
    <w:p>
      <w:pPr>
        <w:jc w:val="left"/>
      </w:pPr>
      <w:r>
        <w:t>Lizenzbereitschaft Vestas: Marktinformationen zufolge ist Vestas nicht auf Lizenzeinnahmen aus dem Enteisungsportfolio angewiesen. Lizenzverhandlungen schwieriger als mit Vellbruck. Alternative: IPR-Antrag USPTO.</w:t>
      </w:r>
    </w:p>
    <w:p>
      <w:pPr>
        <w:pStyle w:val="Heading3"/>
      </w:pPr>
      <w:r>
        <w:rPr>
          <w:rFonts w:ascii="Times New Roman" w:hAnsi="Times New Roman"/>
        </w:rPr>
        <w:t>1.3 Differenzierungsoptionen vs. Vestas</w:t>
      </w:r>
    </w:p>
    <w:p>
      <w:pPr>
        <w:jc w:val="left"/>
      </w:pPr>
      <w:r>
        <w:t>US 10 612 514 B2 (Claim 1): Setzt „contactless power transfer arrangement" voraus. Wenn IceFree v3 US-Version mit Schleifring (statt induktiv) konstruiert wird — würde M5 nicht erfüllt. Aber: Schleifring ist technisch suboptimal und würde EP 3 218 922 B1 Anspruch 8 (Vellbruck, Schleifring als Alternativausf.) treffen.</w:t>
      </w:r>
    </w:p>
    <w:p>
      <w:pPr>
        <w:pStyle w:val="Heading2"/>
      </w:pPr>
      <w:r>
        <w:rPr>
          <w:rFonts w:ascii="Times New Roman" w:hAnsi="Times New Roman"/>
        </w:rPr>
        <w:t>2. Goldwind (Xinjiang Goldwind Science &amp; Technology Co., Ltd.)</w:t>
      </w:r>
    </w:p>
    <w:p>
      <w:pPr>
        <w:pStyle w:val="Heading3"/>
      </w:pPr>
      <w:r>
        <w:rPr>
          <w:rFonts w:ascii="Times New Roman" w:hAnsi="Times New Roman"/>
        </w:rPr>
        <w:t>2.1 Patentportfolio Enteisung CN</w:t>
      </w:r>
    </w:p>
    <w:p>
      <w:pPr>
        <w:jc w:val="left"/>
      </w:pPr>
      <w:r>
        <w:t>Goldwind ist der größte chinesische Windkraftanlagenhersteller und hat 147 Patentfamilien im Enteisungsbereich angemeldet. Die meisten Patente schützen proprietäre Fertigungsverfahren und Systemintegrationen, die für externe Wettbewerber nicht direkt relevant sind.</w:t>
      </w:r>
    </w:p>
    <w:p>
      <w:pPr>
        <w:jc w:val="left"/>
      </w:pPr>
      <w:r>
        <w:t>CN-Schlüsselpatente (FTO-relevant für IceFree v3 CN-Markt):</w:t>
      </w:r>
    </w:p>
    <w:p>
      <w:pPr>
        <w:pStyle w:val="ListBullet"/>
      </w:pPr>
      <w:r>
        <w:t>CN 108 443 075 B — elektrisches Heizsystem (GELB, Erteilung 2021, aktiv)</w:t>
      </w:r>
    </w:p>
    <w:p>
      <w:pPr>
        <w:pStyle w:val="ListBullet"/>
      </w:pPr>
      <w:r>
        <w:t>CN 110 159 514 A — ML-Steuerung (GELB, Erteilungsstatus unklar)</w:t>
      </w:r>
    </w:p>
    <w:p>
      <w:pPr>
        <w:pStyle w:val="ListBullet"/>
      </w:pPr>
      <w:r>
        <w:t>CN 112 814 849 A — induktive Übertragung für WKA (2021, Erteilungsstatus prüfen)</w:t>
      </w:r>
    </w:p>
    <w:p>
      <w:pPr>
        <w:pStyle w:val="Heading3"/>
      </w:pPr>
      <w:r>
        <w:rPr>
          <w:rFonts w:ascii="Times New Roman" w:hAnsi="Times New Roman"/>
        </w:rPr>
        <w:t>2.2 Goldwind-Strategie</w:t>
      </w:r>
    </w:p>
    <w:p>
      <w:pPr>
        <w:jc w:val="left"/>
      </w:pPr>
      <w:r>
        <w:t>Goldwind verfolgt eine aggressive Patentierungsstrategie in China, lizenziert aber selten außerhalb CN. Außerhalb CN sind die meisten Goldwind-Patente nicht validiert. Für den EU/US-Markt: kein direktes Goldwind-FTO-Risiko. Für CN-Markt: mittelgroßes Risiko.</w:t>
      </w:r>
    </w:p>
    <w:p>
      <w:pPr>
        <w:jc w:val="left"/>
      </w:pPr>
      <w:r>
        <w:t>Einschätzung Lizenzbereitschaft Goldwind: Goldwind ist bekannt für zurückhaltende Lizenzierungspraxis gegenüber ausländischen Unternehmen. Alternative: Joint-Venture oder lokaler Vertriebspartner in CN.</w:t>
      </w:r>
    </w:p>
    <w:p>
      <w:pPr>
        <w:pStyle w:val="Heading2"/>
      </w:pPr>
      <w:r>
        <w:rPr>
          <w:rFonts w:ascii="Times New Roman" w:hAnsi="Times New Roman"/>
        </w:rPr>
        <w:t>3. Siemens Gamesa Renewable Energy S.A.</w:t>
      </w:r>
    </w:p>
    <w:p>
      <w:pPr>
        <w:pStyle w:val="Heading3"/>
      </w:pPr>
      <w:r>
        <w:rPr>
          <w:rFonts w:ascii="Times New Roman" w:hAnsi="Times New Roman"/>
        </w:rPr>
        <w:t>3.1 Patentportfolio</w:t>
      </w:r>
    </w:p>
    <w:p>
      <w:pPr>
        <w:jc w:val="left"/>
      </w:pPr>
      <w:r>
        <w:t>Siemens Gamesa hält 78 Patentfamilien im Enteisungsbereich. Kernstrategie: Piezoelektrische und pneumatische Enteisung (mechanisch) als technologische Differenzierung von elektrothermischen Systemen.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Patent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System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FTO-Relevanz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 3 530 943 B1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Piezoelektrische Enteisung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 (anderes Prinzip)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 9 810 208 B2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Fluid-Film-Anti-Icing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 4 011 167 A1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Hybrides Enteisung-Heizsystem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 (enthält Widerstandskomponente)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Siemens-Gamesa-Strategie</w:t>
      </w:r>
    </w:p>
    <w:p>
      <w:pPr>
        <w:jc w:val="left"/>
      </w:pPr>
      <w:r>
        <w:t>Siemens Gamesa hat sich auf mechanische Enteisungssysteme konzentriert und elektrothermische Systeme als Ergänzung vermarktet. Kein direktes Portfolio-Überschneidungsrisiko für IceFree v3.</w:t>
      </w:r>
    </w:p>
    <w:p>
      <w:pPr>
        <w:pStyle w:val="Heading2"/>
      </w:pPr>
      <w:r>
        <w:rPr>
          <w:rFonts w:ascii="Times New Roman" w:hAnsi="Times New Roman"/>
        </w:rPr>
        <w:t>4. Vellbruck Energietechnik GmbH — Portfolioübersicht</w:t>
      </w:r>
    </w:p>
    <w:p>
      <w:pPr>
        <w:jc w:val="left"/>
      </w:pPr>
      <w:r>
        <w:t>Als zentraler Patentinhaber (EP 3 218 922 B1) ist Vellbruck der strategisch wichtigste Akteur für den Mandanten.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Patent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 3 218 922 B1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Hauptpatent — vollständiges System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Aktiv, Kernbedrohung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 3 127 458 B1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Vorgänger-System Schleifring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Aktiv, GELB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 10 2019 205 847 A1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Steuerungspatent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Ausgeschieden 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 4 021 388 A1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Weiterentwicklung Sensorik (2022)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Anhängig</w:t>
            </w:r>
          </w:p>
        </w:tc>
      </w:tr>
    </w:tbl>
    <w:p>
      <w:pPr>
        <w:jc w:val="left"/>
      </w:pPr>
      <w:r>
        <w:t>Unternehmenshintergrund: Vellbruck Energietechnik GmbH wurde 2009 von Rolf-Dieter Vellbruck als Spin-off der Universität Oldenburg gegründet. Umsatz 2024: ca. EUR 8,5 Mio. (geschätzt, keine Veröffentlichung). Kerngeschäft: Entwicklung und Lizenzierung, kein Vertrieb eigener Produkte. Patent-Troll-Risiko: gering — Vellbruck ist operatives Unternehmen mit eigenem FuE-Budget.</w:t>
      </w:r>
    </w:p>
    <w:p>
      <w:pPr>
        <w:pStyle w:val="Heading2"/>
      </w:pPr>
      <w:r>
        <w:rPr>
          <w:rFonts w:ascii="Times New Roman" w:hAnsi="Times New Roman"/>
        </w:rPr>
        <w:t>5. Strategische Implikationen für Windsysteme Norderhof AG</w:t>
      </w:r>
    </w:p>
    <w:p>
      <w:pPr>
        <w:pStyle w:val="ListNumber"/>
      </w:pPr>
      <w:r>
        <w:t>Kooperation mit Vestas (US-Markt) oder IPR ist machbar, aber teurer als Vellbruck-Lizenz.</w:t>
      </w:r>
    </w:p>
    <w:p>
      <w:pPr>
        <w:pStyle w:val="ListNumber"/>
      </w:pPr>
      <w:r>
        <w:t>Goldwind-Risiko ist manageable für CN durch lokalen Kooperationspartner.</w:t>
      </w:r>
    </w:p>
    <w:p>
      <w:pPr>
        <w:pStyle w:val="ListNumber"/>
      </w:pPr>
      <w:r>
        <w:t>Siemens Gamesa-Patente sind kein FTO-Hindernis.</w:t>
      </w:r>
    </w:p>
    <w:p>
      <w:pPr>
        <w:pStyle w:val="ListNumber"/>
      </w:pPr>
      <w:r>
        <w:t>Eigenes Patent-Portfolio des Mandanten (DE 10 2022 134 511 A1 + EP 22 834 190.2) hat Potenzial als Verhandlungsmasse mit Vestas und Vellbruck.</w:t>
      </w:r>
    </w:p>
    <w:p>
      <w:pPr>
        <w:jc w:val="left"/>
      </w:pPr>
      <w:r>
        <w:t>Quellen: Espacenet Patentdatenbank | DPMA Patentdatenbank | USPTO Patent Search | CNIPA Goldwind Patente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