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 Abschlussvermerk Patentanwältin</w:t>
      </w:r>
    </w:p>
    <w:p>
      <w:pPr>
        <w:jc w:val="left"/>
      </w:pPr>
      <w:r>
        <w:t>AZ: SE-2026-FTO-0717</w:t>
      </w:r>
    </w:p>
    <w:p>
      <w:pPr>
        <w:jc w:val="left"/>
      </w:pPr>
      <w:r>
        <w:t>Verfasserin: PA Dr. Eveline Stadter-Birkenhain</w:t>
      </w:r>
    </w:p>
    <w:p>
      <w:pPr>
        <w:jc w:val="left"/>
      </w:pPr>
      <w:r>
        <w:t>Datum: 30. April 2026</w:t>
      </w:r>
    </w:p>
    <w:p/>
    <w:p>
      <w:pPr>
        <w:pStyle w:val="Heading2"/>
      </w:pPr>
      <w:r>
        <w:rPr>
          <w:rFonts w:ascii="Times New Roman" w:hAnsi="Times New Roman"/>
        </w:rPr>
        <w:t>1. Abschluss der Bearbeitung Phase 1–4</w:t>
      </w:r>
    </w:p>
    <w:p>
      <w:pPr>
        <w:jc w:val="left"/>
      </w:pPr>
      <w:r>
        <w:t>Mit dem vorliegenden Abschlussvermerk wird die Bearbeitung des Mandats Windsysteme Norderhof AG / FTO-Recherche IceFree v3, AZ SE-2026-FTO-0717, Phase 1–4 abgeschlossen. Die Recherche- und Analysephase ist damit dokumentiert. Die Verhandlungsphase (Phase 5) wird separat geführt (neues AZ-Suffix: SE-2026-FTO-0717-LIZ).</w:t>
      </w:r>
    </w:p>
    <w:p>
      <w:pPr>
        <w:pStyle w:val="Heading2"/>
      </w:pPr>
      <w:r>
        <w:rPr>
          <w:rFonts w:ascii="Times New Roman" w:hAnsi="Times New Roman"/>
        </w:rPr>
        <w:t>2. Zusammenfassung der wesentlichen Ergebnisse</w:t>
      </w:r>
    </w:p>
    <w:p>
      <w:pPr>
        <w:pStyle w:val="Heading3"/>
      </w:pPr>
      <w:r>
        <w:rPr>
          <w:rFonts w:ascii="Times New Roman" w:hAnsi="Times New Roman"/>
        </w:rPr>
        <w:t>FTO-Befunde</w:t>
      </w:r>
    </w:p>
    <w:p>
      <w:pPr>
        <w:jc w:val="left"/>
      </w:pPr>
      <w:r>
        <w:rPr>
          <w:b/>
        </w:rPr>
        <w:t>Europäischer Markt (DE, NL, DK, SE, NO, FI und weitere EP-Validierungsstaaten)</w:t>
      </w:r>
      <w:r>
        <w:t>:</w:t>
      </w:r>
    </w:p>
    <w:p>
      <w:pPr>
        <w:jc w:val="left"/>
      </w:pPr>
      <w:r>
        <w:t>Das Hindernispatent EP 3 218 922 B1 (Vellbruck Energietechnik GmbH) ist in Kraft, deckt alle wesentlichen Merkmale von IceFree v3 (Ansprüche 1, 13, 21) ab und stellt ein klar bewertetes FTO-Risiko (ROT) dar. Eine Markteinführung ohne Schutzrechtsklärung begründet Unterlassungs-, Schadensersatz- und Vernichtungsansprüche nach §§ 139, 140a PatG. Vorgerichtliche Abmahnung durch Vellbruck wäre bei Kenntnis der Verletzung zu erwarten.</w:t>
      </w:r>
    </w:p>
    <w:p>
      <w:pPr>
        <w:jc w:val="left"/>
      </w:pPr>
      <w:r>
        <w:rPr>
          <w:b/>
        </w:rPr>
        <w:t>US-Markt</w:t>
      </w:r>
      <w:r>
        <w:t>:</w:t>
      </w:r>
    </w:p>
    <w:p>
      <w:pPr>
        <w:jc w:val="left"/>
      </w:pPr>
      <w:r>
        <w:t>Zwei Vestas-Patente (US 10 612 514 B2 und US 11 002 248 B2) blockieren den US-Markteintritt mit IceFree v3 in der aktuellen technischen Ausführung. FTO-Status: ROT.</w:t>
      </w:r>
    </w:p>
    <w:p>
      <w:pPr>
        <w:jc w:val="left"/>
      </w:pPr>
      <w:r>
        <w:rPr>
          <w:b/>
        </w:rPr>
        <w:t>Chinesischer Markt</w:t>
      </w:r>
      <w:r>
        <w:t>:</w:t>
      </w:r>
    </w:p>
    <w:p>
      <w:pPr>
        <w:jc w:val="left"/>
      </w:pPr>
      <w:r>
        <w:t>CN 116 085 192 B (Ming Yang Smart Energy) ist vorläufig ROT — Bestätigung durch CN-Patentanwalt Zhonglun W&amp;D ausstehend. Goldwind-Patente: GELB. Strukturelles Rechercherisiko durch unveröffentlichte Anmeldungen (ca. 10–15 %).</w:t>
      </w:r>
    </w:p>
    <w:p>
      <w:pPr>
        <w:pStyle w:val="Heading3"/>
      </w:pPr>
      <w:r>
        <w:rPr>
          <w:rFonts w:ascii="Times New Roman" w:hAnsi="Times New Roman"/>
        </w:rPr>
        <w:t>Nichtigkeitsrecherche</w:t>
      </w:r>
    </w:p>
    <w:p>
      <w:pPr>
        <w:jc w:val="left"/>
      </w:pPr>
      <w:r>
        <w:t>Kein Einzeldokument schlägt Neuheit des EP 3 218 922 B1 (Anspruch 1). PSA-Analyse ergibt 50–60 % Erfolgsaussicht einer Nichtigkeitsklage auf Basis erfinderische Tätigkeit (Kombination D3 + D4 + D6 + WO 2010/086406).</w:t>
      </w:r>
    </w:p>
    <w:p>
      <w:pPr>
        <w:pStyle w:val="Heading3"/>
      </w:pPr>
      <w:r>
        <w:rPr>
          <w:rFonts w:ascii="Times New Roman" w:hAnsi="Times New Roman"/>
        </w:rPr>
        <w:t>Lizenzverhandlung Vellbruck</w:t>
      </w:r>
    </w:p>
    <w:p>
      <w:pPr>
        <w:jc w:val="left"/>
      </w:pPr>
      <w:r>
        <w:t>Stand 30.04.2026: Sondierungsgespräch positiv verlaufen. Vellbruck-Term-Sheet vorläufig vorliegend. Verhandlungsphase läuft (Folgegespräch 21.05.2026 Oldenburg).</w:t>
      </w:r>
    </w:p>
    <w:p>
      <w:pPr>
        <w:pStyle w:val="Heading2"/>
      </w:pPr>
      <w:r>
        <w:rPr>
          <w:rFonts w:ascii="Times New Roman" w:hAnsi="Times New Roman"/>
        </w:rPr>
        <w:t>3. Qualitätssicherung</w:t>
      </w:r>
    </w:p>
    <w:p>
      <w:pPr>
        <w:jc w:val="left"/>
      </w:pPr>
      <w:r>
        <w:t>Die FTO-Recherche wurde nach dem 4-Augen-Prinzip durchgeführt:</w:t>
      </w:r>
    </w:p>
    <w:p>
      <w:pPr>
        <w:pStyle w:val="ListBullet"/>
      </w:pPr>
      <w:r>
        <w:t>Datenbankrecherche: PA Dr. Jonas Eppendorfer und Patentassistentin Nina Klose.</w:t>
      </w:r>
    </w:p>
    <w:p>
      <w:pPr>
        <w:pStyle w:val="ListBullet"/>
      </w:pPr>
      <w:r>
        <w:t>Volltext-Analyse EP 3 218 922 B1: PA Dr. Eveline Stadter-Birkenhain.</w:t>
      </w:r>
    </w:p>
    <w:p>
      <w:pPr>
        <w:pStyle w:val="ListBullet"/>
      </w:pPr>
      <w:r>
        <w:t>Merkmalsvergleich: Dr. Stadter-Birkenhain (primär), Dr. Eppendorfer (Gegencheck).</w:t>
      </w:r>
    </w:p>
    <w:p>
      <w:pPr>
        <w:pStyle w:val="ListBullet"/>
      </w:pPr>
      <w:r>
        <w:t>Äquivalenzanalyse: Dr. Stadter-Birkenhain.</w:t>
      </w:r>
    </w:p>
    <w:p>
      <w:pPr>
        <w:pStyle w:val="ListBullet"/>
      </w:pPr>
      <w:r>
        <w:t>PSA-Analyse: Dr. Eppendorfer.</w:t>
      </w:r>
    </w:p>
    <w:p>
      <w:pPr>
        <w:pStyle w:val="ListBullet"/>
      </w:pPr>
      <w:r>
        <w:t>Abschlussbericht: Dr. Stadter-Birkenhain.</w:t>
      </w:r>
    </w:p>
    <w:p>
      <w:pPr>
        <w:jc w:val="left"/>
      </w:pPr>
      <w:r>
        <w:t>Externe technische Zuarbeit: Dipl.-Ing. Carsten Thordsen (CTO Windsysteme, Technologiebeschreibung) und Dr.-Ing. Miriam Lüneburg-Kast (F&amp;E-Leiterin, Merkmalsklärungen, 3 Beratungsgespräche).</w:t>
      </w:r>
    </w:p>
    <w:p>
      <w:pPr>
        <w:pStyle w:val="Heading2"/>
      </w:pPr>
      <w:r>
        <w:rPr>
          <w:rFonts w:ascii="Times New Roman" w:hAnsi="Times New Roman"/>
        </w:rPr>
        <w:t>4. Haftungshinweis</w:t>
      </w:r>
    </w:p>
    <w:p>
      <w:pPr>
        <w:jc w:val="left"/>
      </w:pPr>
      <w:r>
        <w:t>Die vorliegende FTO-Analyse gibt den Stand der Patentdatenbanken zum Zeitpunkt der Recherche (24.01.2026 bis 28.03.2026) wieder. Unveröffentlichte Patentanmeldungen (insbesondere CN), nachträglich erteilte Patente auf damals anhängige Anmeldungen sowie nachträgliche Validierungen können den FTO-Status verändern. Die Kanzlei übernimmt keine Haftung für Schutzrechte, die zum Recherchezeitpunkt nicht veröffentlicht waren.</w:t>
      </w:r>
    </w:p>
    <w:p>
      <w:pPr>
        <w:jc w:val="left"/>
      </w:pPr>
      <w:r>
        <w:t>Die Empfehlung zur Lizenznahme von Vellbruck stellt keine Garantie der Verletzungsvermeidung dar; der endgültige Schutzbereich des EP 3 218 922 B1 ist durch die Gerichte zu bestimmen.</w:t>
      </w:r>
    </w:p>
    <w:p>
      <w:pPr>
        <w:jc w:val="left"/>
      </w:pPr>
      <w:r>
        <w:t>Haftungsbeschränkung: EUR 2 Mio. je Schadensfall (§ 8 PartGG mbB, Berufshaftpflicht Markel International Insurance Company, Police-Nr. MK-20249-PAT-052).</w:t>
      </w:r>
    </w:p>
    <w:p>
      <w:pPr>
        <w:pStyle w:val="Heading2"/>
      </w:pPr>
      <w:r>
        <w:rPr>
          <w:rFonts w:ascii="Times New Roman" w:hAnsi="Times New Roman"/>
        </w:rPr>
        <w:t>5. Akteninhalt (Vollständigkeitscheck)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Kategorie</w:t>
            </w:r>
          </w:p>
        </w:tc>
        <w:tc>
          <w:tcPr>
            <w:tcW w:type="dxa" w:w="3024"/>
          </w:tcPr>
          <w:p>
            <w:r>
              <w:rPr>
                <w:rFonts w:ascii="Times New Roman" w:hAnsi="Times New Roman"/>
                <w:b/>
                <w:sz w:val="20"/>
              </w:rPr>
              <w:t>Anzahl Dokumente</w:t>
            </w:r>
          </w:p>
        </w:tc>
        <w:tc>
          <w:tcPr>
            <w:tcW w:type="dxa" w:w="3024"/>
          </w:tcPr>
          <w:p>
            <w:r>
              <w:rPr>
                <w:rFonts w:ascii="Times New Roman" w:hAnsi="Times New Roman"/>
                <w:b/>
                <w:sz w:val="20"/>
              </w:rPr>
              <w:t>Status</w:t>
            </w:r>
          </w:p>
        </w:tc>
      </w:tr>
      <w:tr>
        <w:tc>
          <w:tcPr>
            <w:tcW w:type="dxa" w:w="3024"/>
          </w:tcPr>
          <w:p>
            <w:r>
              <w:rPr>
                <w:rFonts w:ascii="Times New Roman" w:hAnsi="Times New Roman"/>
                <w:sz w:val="20"/>
              </w:rPr>
              <w:t>Markdown-Aktenstücke (01–22)</w:t>
            </w:r>
          </w:p>
        </w:tc>
        <w:tc>
          <w:tcPr>
            <w:tcW w:type="dxa" w:w="3024"/>
          </w:tcPr>
          <w:p>
            <w:r>
              <w:rPr>
                <w:rFonts w:ascii="Times New Roman" w:hAnsi="Times New Roman"/>
                <w:sz w:val="20"/>
              </w:rPr>
              <w:t>22</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DOCX</w:t>
            </w:r>
          </w:p>
        </w:tc>
        <w:tc>
          <w:tcPr>
            <w:tcW w:type="dxa" w:w="3024"/>
          </w:tcPr>
          <w:p>
            <w:r>
              <w:rPr>
                <w:rFonts w:ascii="Times New Roman" w:hAnsi="Times New Roman"/>
                <w:sz w:val="20"/>
              </w:rPr>
              <w:t>3</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XLSX</w:t>
            </w:r>
          </w:p>
        </w:tc>
        <w:tc>
          <w:tcPr>
            <w:tcW w:type="dxa" w:w="3024"/>
          </w:tcPr>
          <w:p>
            <w:r>
              <w:rPr>
                <w:rFonts w:ascii="Times New Roman" w:hAnsi="Times New Roman"/>
                <w:sz w:val="20"/>
              </w:rPr>
              <w:t>2</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EML-E-Mails</w:t>
            </w:r>
          </w:p>
        </w:tc>
        <w:tc>
          <w:tcPr>
            <w:tcW w:type="dxa" w:w="3024"/>
          </w:tcPr>
          <w:p>
            <w:r>
              <w:rPr>
                <w:rFonts w:ascii="Times New Roman" w:hAnsi="Times New Roman"/>
                <w:sz w:val="20"/>
              </w:rPr>
              <w:t>5</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PDF-Berichte</w:t>
            </w:r>
          </w:p>
        </w:tc>
        <w:tc>
          <w:tcPr>
            <w:tcW w:type="dxa" w:w="3024"/>
          </w:tcPr>
          <w:p>
            <w:r>
              <w:rPr>
                <w:rFonts w:ascii="Times New Roman" w:hAnsi="Times New Roman"/>
                <w:sz w:val="20"/>
              </w:rPr>
              <w:t>2</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JPG-Anlagen</w:t>
            </w:r>
          </w:p>
        </w:tc>
        <w:tc>
          <w:tcPr>
            <w:tcW w:type="dxa" w:w="3024"/>
          </w:tcPr>
          <w:p>
            <w:r>
              <w:rPr>
                <w:rFonts w:ascii="Times New Roman" w:hAnsi="Times New Roman"/>
                <w:sz w:val="20"/>
              </w:rPr>
              <w:t>3</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Gesamt</w:t>
            </w:r>
          </w:p>
        </w:tc>
        <w:tc>
          <w:tcPr>
            <w:tcW w:type="dxa" w:w="3024"/>
          </w:tcPr>
          <w:p>
            <w:r>
              <w:rPr>
                <w:rFonts w:ascii="Times New Roman" w:hAnsi="Times New Roman"/>
                <w:sz w:val="20"/>
              </w:rPr>
              <w:t>37</w:t>
            </w:r>
          </w:p>
        </w:tc>
        <w:tc>
          <w:tcPr>
            <w:tcW w:type="dxa" w:w="3024"/>
          </w:tcPr>
          <w:p>
            <w:r>
              <w:rPr>
                <w:rFonts w:ascii="Times New Roman" w:hAnsi="Times New Roman"/>
                <w:sz w:val="20"/>
              </w:rPr>
              <w:t>Vollständig</w:t>
            </w:r>
          </w:p>
        </w:tc>
      </w:tr>
    </w:tbl>
    <w:p>
      <w:pPr>
        <w:pStyle w:val="Heading2"/>
      </w:pPr>
      <w:r>
        <w:rPr>
          <w:rFonts w:ascii="Times New Roman" w:hAnsi="Times New Roman"/>
        </w:rPr>
        <w:t>6. Nächste Schritte und Folgemaßnahmen (Überleitung Phase 5)</w:t>
      </w:r>
    </w:p>
    <w:p>
      <w:pPr>
        <w:jc w:val="left"/>
      </w:pPr>
      <w:r>
        <w:t>Phase 5 (Lizenzverhandlung und Klage-Vorbereitung, neues AZ SE-2026-FTO-0717-LIZ):</w:t>
      </w:r>
    </w:p>
    <w:p>
      <w:pPr>
        <w:pStyle w:val="ListNumber"/>
      </w:pPr>
      <w:r>
        <w:t>Vellbruck-Lizenzvertrag abschließen (Ziel 20.06.2026).</w:t>
      </w:r>
    </w:p>
    <w:p>
      <w:pPr>
        <w:pStyle w:val="ListNumber"/>
      </w:pPr>
      <w:r>
        <w:t>Vestas-IPR-Antrag USPTO vorbereiten (Deadline-Kontrolle).</w:t>
      </w:r>
    </w:p>
    <w:p>
      <w:pPr>
        <w:pStyle w:val="ListNumber"/>
      </w:pPr>
      <w:r>
        <w:t>CN-Patentanwalt Zhonglun W&amp;D beauftragen (CN-Volltext Ming Yang).</w:t>
      </w:r>
    </w:p>
    <w:p>
      <w:pPr>
        <w:pStyle w:val="ListNumber"/>
      </w:pPr>
      <w:r>
        <w:t>SV Prof. Lammers TU Hamburg für Nichtigkeitsklage-Vorbereitung beauftragen.</w:t>
      </w:r>
    </w:p>
    <w:p>
      <w:pPr>
        <w:pStyle w:val="ListNumber"/>
      </w:pPr>
      <w:r>
        <w:t>Beschleunigungsantrag EPA für EP 22 834 190.2 einreichen.</w:t>
      </w:r>
    </w:p>
    <w:p>
      <w:pPr>
        <w:pStyle w:val="ListNumber"/>
      </w:pPr>
      <w:r>
        <w:t>Eigene Patentanmeldung für ML-Algorithmus IceFree v3 vorbereiten (neues Schutzrecht DE).</w:t>
      </w:r>
    </w:p>
    <w:p/>
    <w:p>
      <w:pPr>
        <w:jc w:val="left"/>
      </w:pPr>
      <w:r>
        <w:t>Dr. Eveline Stadter-Birkenhain</w:t>
      </w:r>
    </w:p>
    <w:p>
      <w:pPr>
        <w:jc w:val="left"/>
      </w:pPr>
      <w:r>
        <w:t>Patentanwältin (LL.M. IP), European Patent Attorney</w:t>
      </w:r>
    </w:p>
    <w:p>
      <w:pPr>
        <w:jc w:val="left"/>
      </w:pPr>
      <w:r>
        <w:t>Stadter &amp; Eppendorfer PartG mbB</w:t>
      </w:r>
    </w:p>
    <w:p>
      <w:pPr>
        <w:jc w:val="left"/>
      </w:pPr>
      <w:r>
        <w:t>Neuer Wall 44, 20354 Hamburg</w:t>
      </w:r>
    </w:p>
    <w:p>
      <w:pPr>
        <w:jc w:val="left"/>
      </w:pPr>
      <w:r>
        <w:t>Quellen: DPMA | EPO | dejure.org — §§ 139, 140a PatG | 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