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Recherche und Löschungsrisiko</w:t>
      </w:r>
    </w:p>
    <w:p>
      <w:pPr>
        <w:pStyle w:val="Heading2"/>
      </w:pPr>
      <w:r>
        <w:rPr>
          <w:rFonts w:ascii="Times New Roman" w:hAnsi="Times New Roman"/>
        </w:rPr>
        <w:t>Sofortrecherche</w:t>
      </w:r>
    </w:p>
    <w:p>
      <w:pPr>
        <w:pStyle w:val="ListBullet"/>
      </w:pPr>
      <w:r>
        <w:t>DPMAregister und DEPATISnet nach Schnellhalter, Sensorhalter, Rastkeil, Kabelentlastung, Mastprofil durchsuchen.</w:t>
      </w:r>
    </w:p>
    <w:p>
      <w:pPr>
        <w:pStyle w:val="ListBullet"/>
      </w:pPr>
      <w:r>
        <w:t>Espacenet mit englischen Begriffen: quick release sensor mount, snap-fit bracket, cable strain relief, mast profile.</w:t>
      </w:r>
    </w:p>
    <w:p>
      <w:pPr>
        <w:pStyle w:val="ListBullet"/>
      </w:pPr>
      <w:r>
        <w:t>Produktkataloge aus Umweltmesstechnik und Fahrrad-/Actioncam-Halterungen prüfen.</w:t>
      </w:r>
    </w:p>
    <w:p>
      <w:pPr>
        <w:pStyle w:val="ListBullet"/>
      </w:pPr>
      <w:r>
        <w:t>Internetarchiv und Messekatalog zur Offenbarung sichern.</w:t>
      </w:r>
    </w:p>
    <w:p>
      <w:pPr>
        <w:pStyle w:val="Heading2"/>
      </w:pPr>
      <w:r>
        <w:rPr>
          <w:rFonts w:ascii="Times New Roman" w:hAnsi="Times New Roman"/>
        </w:rPr>
        <w:t>Löschungsangriffe, die zu erwarten sind</w:t>
      </w:r>
    </w:p>
    <w:p>
      <w:pPr>
        <w:pStyle w:val="ListNumber"/>
      </w:pPr>
      <w:r>
        <w:t>Neuheit: Kombination bereits in einem Katalog oder Patentdokument.</w:t>
      </w:r>
    </w:p>
    <w:p>
      <w:pPr>
        <w:pStyle w:val="ListNumber"/>
      </w:pPr>
      <w:r>
        <w:t>Erfinderischer Schritt: bloße Aggregation bekannter Clips.</w:t>
      </w:r>
    </w:p>
    <w:p>
      <w:pPr>
        <w:pStyle w:val="ListNumber"/>
      </w:pPr>
      <w:r>
        <w:t>Unzulässige Erweiterung, falls Anspruch später enger/anders gefasst wird.</w:t>
      </w:r>
    </w:p>
    <w:p>
      <w:pPr>
        <w:pStyle w:val="ListNumber"/>
      </w:pPr>
      <w:r>
        <w:t>Ausschluss, wenn versehentlich nur ein Verfahren zur Montage beschrieben wird.</w:t>
      </w:r>
    </w:p>
    <w:p>
      <w:pPr>
        <w:pStyle w:val="Heading2"/>
      </w:pPr>
      <w:r>
        <w:rPr>
          <w:rFonts w:ascii="Times New Roman" w:hAnsi="Times New Roman"/>
        </w:rPr>
        <w:t>Praktischer Vorschlag</w:t>
      </w:r>
    </w:p>
    <w:p>
      <w:pPr>
        <w:jc w:val="left"/>
      </w:pPr>
      <w:r>
        <w:t>Anmeldung vorbereiten, aber Anspruchsfassung konservativ und mit mehreren Rückfallpositionen. Vor Abmahnung mindestens § 7 GebrMG-Recherche anstoßen und Gegnerprodukt beschaffen. Eine eV ohne belastbaren Rechtsbestand wäre zu dünn.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