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KYC-Prüfformular – Danube Trade Solutions SRL</w:t>
      </w:r>
    </w:p>
    <w:p>
      <w:pPr>
        <w:jc w:val="left"/>
      </w:pPr>
      <w:r>
        <w:rPr>
          <w:b/>
        </w:rPr>
        <w:t>Formular-Nr.:</w:t>
      </w:r>
      <w:r>
        <w:t xml:space="preserve"> KYC-MH-2026-0028</w:t>
      </w:r>
    </w:p>
    <w:p>
      <w:pPr>
        <w:jc w:val="left"/>
      </w:pPr>
      <w:r>
        <w:rPr>
          <w:b/>
        </w:rPr>
        <w:t>Status:</w:t>
      </w:r>
      <w:r>
        <w:t xml:space="preserve"> Abgeschlossen – Hochrisiko-Einstufung</w:t>
      </w:r>
    </w:p>
    <w:p>
      <w:pPr>
        <w:jc w:val="left"/>
      </w:pPr>
      <w:r>
        <w:rPr>
          <w:b/>
        </w:rPr>
        <w:t>Erstellt von:</w:t>
      </w:r>
      <w:r>
        <w:t xml:space="preserve"> Thomas Eckhardt (Geldwäschebeauftragter)</w:t>
      </w:r>
    </w:p>
    <w:p>
      <w:pPr>
        <w:jc w:val="left"/>
      </w:pPr>
      <w:r>
        <w:rPr>
          <w:b/>
        </w:rPr>
        <w:t>Geprüft und freigegeben:</w:t>
      </w:r>
      <w:r>
        <w:t xml:space="preserve"> Klaus-Dieter Brenner (GF) — nur nach Verdachtsmeldung und Transaktionsstopp</w:t>
      </w:r>
    </w:p>
    <w:p>
      <w:pPr>
        <w:jc w:val="left"/>
      </w:pPr>
      <w:r>
        <w:rPr>
          <w:b/>
        </w:rPr>
        <w:t>Datum KYC-Beginn:</w:t>
      </w:r>
      <w:r>
        <w:t xml:space="preserve"> 14.04.2026</w:t>
      </w:r>
    </w:p>
    <w:p>
      <w:pPr>
        <w:jc w:val="left"/>
      </w:pPr>
      <w:r>
        <w:rPr>
          <w:b/>
        </w:rPr>
        <w:t>Datum Abschluss:</w:t>
      </w:r>
      <w:r>
        <w:t xml:space="preserve"> 19.05.2026</w:t>
      </w:r>
    </w:p>
    <w:p>
      <w:pPr>
        <w:jc w:val="left"/>
      </w:pPr>
      <w:r>
        <w:rPr>
          <w:b/>
        </w:rPr>
        <w:t>Rechtsgrundlage:</w:t>
      </w:r>
      <w:r>
        <w:t xml:space="preserve"> §§ 10–13, 15 GwG; § 1 Abs. 3 GwG (wirtschaftlich Berechtigter)</w:t>
      </w:r>
    </w:p>
    <w:p/>
    <w:p>
      <w:pPr>
        <w:pStyle w:val="Heading2"/>
      </w:pPr>
      <w:r>
        <w:rPr>
          <w:rFonts w:ascii="Times New Roman" w:hAnsi="Times New Roman"/>
        </w:rPr>
        <w:t>Abschnitt 1: Stammdaten Vertragspartner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Firmenname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Danube Trade Solutions SRL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Rechtsform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Societate cu Răspundere Limitată (SRL) = GmbH rumänischen Rechts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Handelsregisternummer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J40/12847/2019 (Registrul Comerțului Bukarest)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Steuernummer (CUI)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 41 687 293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Geschäftsadresse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Strada Buzești Nr. 74, Etaj 3, 011013 București, Rumänien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Gründungsdatum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22.08.2019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Stammkapital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200 RON (ca. 40 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Haupttätigkeit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Groß- und Außenhandel mit Maschinen und Industriekomponenten (NACE 4669)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Geschäftsführer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Andrei Moldovan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Kontaktperson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Andrei Moldovan, +40 721 88 44 22, a.moldovan@danubetrade.ro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Vertragsgegenstand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Distributorvertrag Industrieersatzteile Südosteuropa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Erwartetes Jahresvolumen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Vertragsnummer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MH-DTS-2026-04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Abschnitt 2: Identifizierung Geschäftsführer / Vertretungsberechtigte</w:t>
      </w:r>
    </w:p>
    <w:p>
      <w:pPr>
        <w:pStyle w:val="Heading3"/>
      </w:pPr>
      <w:r>
        <w:rPr>
          <w:rFonts w:ascii="Times New Roman" w:hAnsi="Times New Roman"/>
        </w:rPr>
        <w:t>2.1 Persönliche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Andrei Constantin Moldovan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Geburtsdatum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14.02.1971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Geburtsort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Cluj-Napoca, Rumänien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Staatsangehörigkeit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Rumänisch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Wohnsitz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Calea Dorobanților 188, 400117 Cluj-Napoca, Rumänien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Ausweisdokument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Rumänischer Reisepass Nr. RX 3847291, ausgestellt 12.03.2020, gültig bis 11.03.2030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Kopie vorhanden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(beglaubigte Kopie, Eingang 20.04.2026)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Vertretungsbefugnis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Alleinvertretungsberechtigter GF laut Registerauszug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Verifikationsstatus</w:t>
      </w:r>
    </w:p>
    <w:p>
      <w:pPr>
        <w:pStyle w:val="ListBullet"/>
      </w:pPr>
      <w:r>
        <w:t xml:space="preserve">Identitätsdokument: </w:t>
      </w:r>
      <w:r>
        <w:rPr>
          <w:b/>
        </w:rPr>
        <w:t>Verifiziert</w:t>
      </w:r>
      <w:r>
        <w:t xml:space="preserve"> (Kopie, Vergleich mit Registerauszug)</w:t>
      </w:r>
    </w:p>
    <w:p>
      <w:pPr>
        <w:pStyle w:val="ListBullet"/>
      </w:pPr>
      <w:r>
        <w:t xml:space="preserve">Wohnsitznachweis: </w:t>
      </w:r>
      <w:r>
        <w:rPr>
          <w:b/>
        </w:rPr>
        <w:t>Ausstehend</w:t>
      </w:r>
      <w:r>
        <w:t xml:space="preserve"> (Anforderung per E-Mail 22.04.2026, bisher keine Antwort)</w:t>
      </w:r>
    </w:p>
    <w:p>
      <w:pPr>
        <w:pStyle w:val="ListBullet"/>
      </w:pPr>
      <w:r>
        <w:t xml:space="preserve">Video-Ident-Protokoll: </w:t>
      </w:r>
      <w:r>
        <w:rPr>
          <w:b/>
        </w:rPr>
        <w:t>Nicht durchgeführt</w:t>
      </w:r>
      <w:r>
        <w:t xml:space="preserve"> (wird empfohlen bei Fernidentifizierung)</w:t>
      </w:r>
    </w:p>
    <w:p/>
    <w:p>
      <w:pPr>
        <w:pStyle w:val="Heading2"/>
      </w:pPr>
      <w:r>
        <w:rPr>
          <w:rFonts w:ascii="Times New Roman" w:hAnsi="Times New Roman"/>
        </w:rPr>
        <w:t>Abschnitt 3: Wirtschaftlich Berechtigter (UBO)</w:t>
      </w:r>
    </w:p>
    <w:p>
      <w:pPr>
        <w:pStyle w:val="Heading3"/>
      </w:pPr>
      <w:r>
        <w:rPr>
          <w:rFonts w:ascii="Times New Roman" w:hAnsi="Times New Roman"/>
        </w:rPr>
        <w:t>3.1 UBO-Selbstauskunft (ausgefüllt durch Danube Trade Solutions SRL)</w:t>
      </w:r>
    </w:p>
    <w:p>
      <w:pPr>
        <w:jc w:val="left"/>
      </w:pPr>
      <w:r>
        <w:t>Laut Selbstauskunft vom 16.04.2026:</w:t>
      </w:r>
    </w:p>
    <w:p>
      <w:pPr>
        <w:pStyle w:val="ListBullet"/>
      </w:pPr>
      <w:r>
        <w:t xml:space="preserve">Gesellschafterstruktur: 100 % der Anteile werden von der </w:t>
      </w:r>
      <w:r>
        <w:rPr>
          <w:b/>
        </w:rPr>
        <w:t>Blue Harbor Holdings Ltd.</w:t>
      </w:r>
      <w:r>
        <w:t>, Nikosia, Zypern, gehalten.</w:t>
      </w:r>
    </w:p>
    <w:p>
      <w:pPr>
        <w:pStyle w:val="ListBullet"/>
      </w:pPr>
      <w:r>
        <w:t>Blue Harbor Holdings Ltd. hält die Anteile nach eigener Auskunft als direkter Gesellschafter.</w:t>
      </w:r>
    </w:p>
    <w:p>
      <w:pPr>
        <w:pStyle w:val="ListBullet"/>
      </w:pPr>
      <w:r>
        <w:t>Natürliche Person hinter Blue Harbor Holdings Ltd.: Keine Angabe; als Begründung wurde auf eine "Treuhandkonstruktion" verwiesen.</w:t>
      </w:r>
    </w:p>
    <w:p>
      <w:pPr>
        <w:pStyle w:val="Heading3"/>
      </w:pPr>
      <w:r>
        <w:rPr>
          <w:rFonts w:ascii="Times New Roman" w:hAnsi="Times New Roman"/>
        </w:rPr>
        <w:t>3.2 Eigene Prüfung durch Compliance</w:t>
      </w:r>
    </w:p>
    <w:p>
      <w:pPr>
        <w:pStyle w:val="ListBullet"/>
      </w:pPr>
      <w:r>
        <w:t xml:space="preserve">Zypern-Handelsregister-Abfrage (electronic Companies Registrar): </w:t>
      </w:r>
      <w:r>
        <w:rPr>
          <w:b/>
        </w:rPr>
        <w:t>Blue Harbor Holdings Ltd.</w:t>
      </w:r>
      <w:r>
        <w:t xml:space="preserve"> eingetragen als Private Company (Reg. Nr. HE 387421); Gesellschafter-Offenlegung laut zyprischem Register: Anonym (Inhaberaktien bis 2018 möglich; Nachfolgelösung nur Nomineestruktur sichtbar).</w:t>
      </w:r>
    </w:p>
    <w:p>
      <w:pPr>
        <w:pStyle w:val="ListBullet"/>
      </w:pPr>
      <w:r>
        <w:rPr>
          <w:b/>
        </w:rPr>
        <w:t>Kein UBO identifiziert</w:t>
      </w:r>
      <w:r>
        <w:t>, der mehr als 25 % Stimmrechte oder wirtschaftliches Eigentum nachweisbar hält.</w:t>
      </w:r>
    </w:p>
    <w:p>
      <w:pPr>
        <w:pStyle w:val="ListBullet"/>
      </w:pPr>
      <w:r>
        <w:t>Laut Paragraf 3 Absatz 2 GwG ist in diesem Fall der gesetzliche Vertreter (Andrei Moldovan) als wirtschaftlich Berechtigter nach Auffangregel zu behandeln, was das Risiko NICHT senkt.</w:t>
      </w:r>
    </w:p>
    <w:p>
      <w:pPr>
        <w:pStyle w:val="Heading3"/>
      </w:pPr>
      <w:r>
        <w:rPr>
          <w:rFonts w:ascii="Times New Roman" w:hAnsi="Times New Roman"/>
        </w:rPr>
        <w:t>3.3 Bewertung</w:t>
      </w:r>
    </w:p>
    <w:p>
      <w:pPr>
        <w:ind w:left="567"/>
      </w:pPr>
      <w:r>
        <w:rPr>
          <w:b/>
          <w:i/>
        </w:rPr>
        <w:t>Ergebnis: UBO konnte nicht aufgeklärt werden. Verstärkte Sorgfaltspflicht zwingend. GF-Genehmigung erforderlich vor jeder Transaktion (§ 15 Abs. 4 GwG). Zypern als Offshore-Jurisdiktion klassifiziert (erhöhtes Risiko).</w:t>
      </w:r>
    </w:p>
    <w:p/>
    <w:p>
      <w:pPr>
        <w:pStyle w:val="Heading2"/>
      </w:pPr>
      <w:r>
        <w:rPr>
          <w:rFonts w:ascii="Times New Roman" w:hAnsi="Times New Roman"/>
        </w:rPr>
        <w:t>Abschnitt 4: Zweck und Art der Geschäftsbeziehung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Zweck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Distributorvertrag für Industrieersatzteile Südosteuropa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Herkunft Geschäftsbeziehung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Empfehlung durch Handelsagent Stefan Popescu (Bukarest)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Erwartete Transaktionsstruktur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Quartalsrechnungen, Überweisung; Anzahlung 25 %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Zahlungsweg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Überweisung auf DE-Konto Musterholding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Wirtschaftlich nachvollziehbar?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Eingeschränkt: kein belastbarer Nachweis über Endabnehmer in Südosteuropa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Plausibilität Volumen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Fraglich: Stammkapital nur 40 EUR; kein nachgewiesener Track Record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Abschnitt 5: PEP-Screening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Screening-Tool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World-Check (LSEG), abgefragt am 22.04.2026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Treffer 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"Andrei Moldovan", DOB 12.04.1969, ehem. stellv. Wirtschaftsminister Rumänien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Übereinstimmung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 identisch; Geburtsdatum abweichend (2 Jahre); Foto-Vergleich: nicht eindeutig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Möglicher False Positive, aber nicht abschließend ausgeschlossen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Vier-Augen-Prüfung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Eckhardt + Brenner; Entscheidung ausstehend (Stand 19.05.2026: Verdachtsmeldung eingeleitet)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PEP-Status final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Ungeklärt; Behandlung als PEP bis zum Gegenbeweis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Abschnitt 6: Sanktionsscreening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EU-Sanktionsliste (EUR-Lex)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Blue Harbor Holdings Ltd. — Namensähnlichkeit zu "Blue Harbour Shipping" (gelistet für Iransanktionen)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Möglicher False Positive; gelistete Einheit ist Schifffahrtsunternehmen, Sitzland Panama; Namensähnlichkeit hoch, aber kein identischer Match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OFAC SDN List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direkter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UN-Sanktionsliste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Bundesamt für Wirtschaft und Ausfuhrkontrolle (BAFA)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</w:t>
            </w:r>
          </w:p>
        </w:tc>
      </w:tr>
    </w:tbl>
    <w:p>
      <w:pPr>
        <w:jc w:val="left"/>
      </w:pPr>
      <w:r>
        <w:rPr>
          <w:b/>
        </w:rPr>
        <w:t>Gesamtergebnis Sanktionsscreening:</w:t>
      </w:r>
      <w:r>
        <w:t xml:space="preserve"> Kein eindeutiger Sanktionsverstoß; jedoch Überwachung erforderlich. Freigabe Blue Harbor Holdings Ltd. als False Positive bislang nicht dokumentiert (Findings Interne Revision).</w:t>
      </w:r>
    </w:p>
    <w:p/>
    <w:p>
      <w:pPr>
        <w:pStyle w:val="Heading2"/>
      </w:pPr>
      <w:r>
        <w:rPr>
          <w:rFonts w:ascii="Times New Roman" w:hAnsi="Times New Roman"/>
        </w:rPr>
        <w:t>Abschnitt 7: Herkunft der Mittel / Source of Funds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Anforderungsschreiben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Versandt am 16.05.2026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Geforderte Unterlagen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Jahresabschlüsse 2023 und 2024, Nachweis Eigenkapitalherkunft, Bankreferenz, Erklärung Zahlungsquelle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Eingang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Ausstehend (Stand 19.05.2026)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Ohne Mittelherkunftsnachweis keine Freigabe möglich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Abschnitt 8: Transaktionsauffälligkeit Drittzahlung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Eingang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28.04.2026, 14:37 Uhr MESZ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187.500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Auftraggeber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Adriatic Commerce Ltd., Valletta, Malta, IBAN MT84 MALT 0110 0001 2345 MTLB 010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Verwendungszweck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"Advance Payment – Contract MH-DTS-2026-04"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Vertraglich vorgesehen?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Nein; kein Hinweis auf Drittzahlungskonstruktion im Vertragsentwurf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Transaktionsstopp; Betrag auf Sperrkonto; Alert erzeugt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Abschnitt 9: KYC-Gesamtbewertung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Identifizierung GF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 (Reisepasskopie)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UBO-Ermittlung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vollständig; Offshore-Holding, kein natürlicher UBO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PEP-Status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Ungeklärt; Verdachtsbehandlung als PEP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Sanktionsscreening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Möglicher False Positive Blue Harbor; keine Freigabe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Mittelherkunft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nachgewiesen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Transaktionsstruktur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Hochrisikoverdächtig (Drittzahlung)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Geschäftszweck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Eingeschränkt plausibel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Gesamteinstufung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HOCHRISIKO</w:t>
            </w:r>
          </w:p>
        </w:tc>
      </w:tr>
    </w:tbl>
    <w:p>
      <w:pPr>
        <w:jc w:val="left"/>
      </w:pPr>
      <w:r>
        <w:rPr>
          <w:b/>
        </w:rPr>
        <w:t>Empfehlung Geldwäschebeauftragter:</w:t>
      </w:r>
      <w:r>
        <w:t xml:space="preserve"> Geschäftsbeziehung bis zur vollständigen Klärung suspendieren. Verdachtsmeldung an FIU eingeleitet (VM-MH-2026-0041). Kein Durchführen von Transaktionen (§ 46 GwG).</w:t>
      </w:r>
    </w:p>
    <w:p/>
    <w:p>
      <w:pPr>
        <w:jc w:val="left"/>
      </w:pPr>
      <w:r>
        <w:rPr>
          <w:i/>
        </w:rPr>
        <w:t>Formular-Nr.: KYC-MH-2026-0028 — Musterholding GmbH / Geldwäschebeauftragter Thomas Eckhardt</w:t>
      </w:r>
    </w:p>
    <w:p>
      <w:pPr>
        <w:jc w:val="left"/>
      </w:pPr>
      <w:r>
        <w:rPr>
          <w:i/>
        </w:rPr>
        <w:t>Aufbewahrungsfrist: 5 Jahre ab Ende der Geschäftsbeziehung (§ 8 Abs. 4 GwG)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