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UBO-Dokumentation – Danube Trade Solutions SRL / Blue Harbor Holdings Ltd.</w:t>
      </w:r>
    </w:p>
    <w:p>
      <w:pPr>
        <w:jc w:val="left"/>
      </w:pPr>
      <w:r>
        <w:rPr>
          <w:b/>
        </w:rPr>
        <w:t>Dokument-Nr.:</w:t>
      </w:r>
      <w:r>
        <w:t xml:space="preserve"> UBO-MH-2026-0028</w:t>
      </w:r>
    </w:p>
    <w:p>
      <w:pPr>
        <w:jc w:val="left"/>
      </w:pPr>
      <w:r>
        <w:rPr>
          <w:b/>
        </w:rPr>
        <w:t>Erstellungsdatum:</w:t>
      </w:r>
      <w:r>
        <w:t xml:space="preserve"> 02.05.2026</w:t>
      </w:r>
    </w:p>
    <w:p>
      <w:pPr>
        <w:jc w:val="left"/>
      </w:pPr>
      <w:r>
        <w:rPr>
          <w:b/>
        </w:rPr>
        <w:t>Verfasser:</w:t>
      </w:r>
      <w:r>
        <w:t xml:space="preserve"> Thomas Eckhardt (Geldwäschebeauftragter)</w:t>
      </w:r>
    </w:p>
    <w:p>
      <w:pPr>
        <w:jc w:val="left"/>
      </w:pPr>
      <w:r>
        <w:rPr>
          <w:b/>
        </w:rPr>
        <w:t>Aktenzeichen Kanzlei:</w:t>
      </w:r>
      <w:r>
        <w:t xml:space="preserve"> 2026/AML/047-MH</w:t>
      </w:r>
    </w:p>
    <w:p>
      <w:pPr>
        <w:jc w:val="left"/>
      </w:pPr>
      <w:r>
        <w:rPr>
          <w:b/>
        </w:rPr>
        <w:t>Rechtsgrundlage:</w:t>
      </w:r>
      <w:r>
        <w:t xml:space="preserve"> § 3 GwG; Art. 3 Nr. 6 AMLD5 (EU 2018/843); § 10 Abs. 1 Nr. 2 GwG</w:t>
      </w:r>
    </w:p>
    <w:p/>
    <w:p>
      <w:pPr>
        <w:pStyle w:val="Heading2"/>
      </w:pPr>
      <w:r>
        <w:rPr>
          <w:rFonts w:ascii="Times New Roman" w:hAnsi="Times New Roman"/>
        </w:rPr>
        <w:t>1. Hintergrund und Aufgabenstellung</w:t>
      </w:r>
    </w:p>
    <w:p>
      <w:pPr>
        <w:jc w:val="left"/>
      </w:pPr>
      <w:r>
        <w:t>Im Rahmen der KYC-Prüfung zu Danube Trade Solutions SRL (Bukarest, Rumänien) wurde festgestellt, dass der in der Selbstauskunft angegebene wirtschaftlich Berechtigte (UBO) eine offshore-ansässige Holdinggesellschaft (Blue Harbor Holdings Ltd., Zypern) ist. Das GwG verpflichtet die Musterholding GmbH als Verpflichteten gemäß § 10 Abs. 1 Nr. 2 GwG, den wirtschaftlich Berechtigten (natürliche Person) zu ermitteln und zu dokumentieren. Dieses Dokument gibt den Stand der UBO-Ermittlung wieder.</w:t>
      </w:r>
    </w:p>
    <w:p/>
    <w:p>
      <w:pPr>
        <w:pStyle w:val="Heading2"/>
      </w:pPr>
      <w:r>
        <w:rPr>
          <w:rFonts w:ascii="Times New Roman" w:hAnsi="Times New Roman"/>
        </w:rPr>
        <w:t>2. Beteiligungsstruktur – Bekannte Angaben</w:t>
      </w:r>
    </w:p>
    <w:p>
      <w:pPr>
        <w:jc w:val="left"/>
      </w:pPr>
      <w:r>
        <w:t>Auf Basis der vorliegenden Unterlagen (Stand 19.05.2026) stellt sich die Beteiligungsstruktur wie folgt dar:</w:t>
      </w:r>
    </w:p>
    <w:p>
      <w:pPr>
        <w:jc w:val="left"/>
      </w:pPr>
      <w:r>
        <w:t>```</w:t>
      </w:r>
    </w:p>
    <w:p>
      <w:pPr>
        <w:jc w:val="left"/>
      </w:pPr>
      <w:r>
        <w:t>Danube Trade Solutions SRL</w:t>
      </w:r>
    </w:p>
    <w:p>
      <w:pPr>
        <w:jc w:val="left"/>
      </w:pPr>
      <w:r>
        <w:t>(Bukarest, Rumänien; J40/12847/2019)</w:t>
      </w:r>
    </w:p>
    <w:p>
      <w:pPr>
        <w:jc w:val="left"/>
      </w:pPr>
      <w:r>
        <w:t>100 % Anteile</w:t>
      </w:r>
    </w:p>
    <w:p>
      <w:pPr>
        <w:jc w:val="left"/>
      </w:pPr>
      <w:r>
        <w:t>Blue Harbor Holdings Ltd.</w:t>
      </w:r>
    </w:p>
    <w:p>
      <w:pPr>
        <w:jc w:val="left"/>
      </w:pPr>
      <w:r>
        <w:t>(Nikosia, Zypern; HE 387421)</w:t>
      </w:r>
    </w:p>
    <w:p>
      <w:pPr>
        <w:jc w:val="left"/>
      </w:pPr>
      <w:r>
        <w:t>??? — Nicht offengelegt</w:t>
      </w:r>
    </w:p>
    <w:p>
      <w:pPr>
        <w:jc w:val="left"/>
      </w:pPr>
      <w:r>
        <w:t>(Treuhandstruktur laut Selbstauskunft)</w:t>
      </w:r>
    </w:p>
    <w:p>
      <w:pPr>
        <w:jc w:val="left"/>
      </w:pPr>
      <w:r>
        <w:t>```</w:t>
      </w:r>
    </w:p>
    <w:p>
      <w:pPr>
        <w:jc w:val="left"/>
      </w:pPr>
      <w:r>
        <w:t>Hinter Blue Harbor Holdings Ltd. steht nach eigener Aussage des Vertreters Andrei Moldovan eine "komplexe Treuhandkonstruktion mit mehreren Benefiziaries". Konkrete natürliche Personen wurden trotz Anforderung (16.04.2026, 08.05.2026) nicht benannt.</w:t>
      </w:r>
    </w:p>
    <w:p/>
    <w:p>
      <w:pPr>
        <w:pStyle w:val="Heading2"/>
      </w:pPr>
      <w:r>
        <w:rPr>
          <w:rFonts w:ascii="Times New Roman" w:hAnsi="Times New Roman"/>
        </w:rPr>
        <w:t>3. Prüfschritte und Ergebnisse</w:t>
      </w:r>
    </w:p>
    <w:p>
      <w:pPr>
        <w:pStyle w:val="Heading3"/>
      </w:pPr>
      <w:r>
        <w:rPr>
          <w:rFonts w:ascii="Times New Roman" w:hAnsi="Times New Roman"/>
        </w:rPr>
        <w:t>3.1 Selbstauskunft Danube Trade Solutions SRL</w:t>
      </w:r>
    </w:p>
    <w:p>
      <w:pPr>
        <w:pStyle w:val="ListBullet"/>
      </w:pPr>
      <w:r>
        <w:t>Datum Selbstauskunft: 16.04.2026</w:t>
      </w:r>
    </w:p>
    <w:p>
      <w:pPr>
        <w:pStyle w:val="ListBullet"/>
      </w:pPr>
      <w:r>
        <w:t>Ergebnis: Blue Harbor Holdings Ltd. als Gesellschafter angegeben; keine natürliche Person identifiziert</w:t>
      </w:r>
    </w:p>
    <w:p>
      <w:pPr>
        <w:pStyle w:val="ListBullet"/>
      </w:pPr>
      <w:r>
        <w:t>Aussage GF Andrei Moldovan: "Beneficial ownership liegt bei einer Treuhandkonstruktion, Details sind aus Datenschutzgründen nicht offenlegbar"</w:t>
      </w:r>
    </w:p>
    <w:p>
      <w:pPr>
        <w:jc w:val="left"/>
      </w:pPr>
      <w:r>
        <w:rPr>
          <w:b/>
        </w:rPr>
        <w:t>Bewertung:</w:t>
      </w:r>
      <w:r>
        <w:t xml:space="preserve"> Die Berufung auf Datenschutz als Verweigerungsgrund für die UBO-Offenlegung ist rechtlich nicht tragfähig. Nach § 10 Abs. 1 Nr. 2 GwG i.V.m. § 3 GwG ist die Musterholding GmbH als Verpflichtete berechtigt und verpflichtet, Informationen zu wirtschaftlich Berechtigten zu erheben. Die Weigerung ist ein eigenständiger Risikoindikator.</w:t>
      </w:r>
    </w:p>
    <w:p>
      <w:pPr>
        <w:pStyle w:val="Heading3"/>
      </w:pPr>
      <w:r>
        <w:rPr>
          <w:rFonts w:ascii="Times New Roman" w:hAnsi="Times New Roman"/>
        </w:rPr>
        <w:t>3.2 Abfrage Zypern-Handelsregister (Registrar of Companies, Nikosia)</w:t>
      </w:r>
    </w:p>
    <w:p>
      <w:pPr>
        <w:pStyle w:val="ListBullet"/>
      </w:pPr>
      <w:r>
        <w:t>Abfragedatum: 24.04.2026</w:t>
      </w:r>
    </w:p>
    <w:p>
      <w:pPr>
        <w:pStyle w:val="ListBullet"/>
      </w:pPr>
      <w:r>
        <w:t>Ergebnis: Blue Harbor Holdings Ltd., HE 387421, eingetragen 14.11.2017</w:t>
      </w:r>
    </w:p>
    <w:p>
      <w:pPr>
        <w:pStyle w:val="ListBullet"/>
      </w:pPr>
      <w:r>
        <w:t>Registered Address: 12 Demetriou Karatasou, Nikosia 2024, Zypern</w:t>
      </w:r>
    </w:p>
    <w:p>
      <w:pPr>
        <w:pStyle w:val="ListBullet"/>
      </w:pPr>
      <w:r>
        <w:t>Director: Nominee Director Panikos Stavridis (registrierter Nominee)</w:t>
      </w:r>
    </w:p>
    <w:p>
      <w:pPr>
        <w:pStyle w:val="ListBullet"/>
      </w:pPr>
      <w:r>
        <w:t>Secretary: Paneuro Secretarial Services Ltd. (Nikosia)</w:t>
      </w:r>
    </w:p>
    <w:p>
      <w:pPr>
        <w:pStyle w:val="ListBullet"/>
      </w:pPr>
      <w:r>
        <w:t>Shareholders: Laut Register: 1.000 Shares, Inhaber: nicht im öffentlich einsehbaren Register ersichtlich (Zypern führt kein öffentliches UBO-Register nach EU-Standard, trotz 5. AMLD-Anforderung)</w:t>
      </w:r>
    </w:p>
    <w:p>
      <w:pPr>
        <w:pStyle w:val="ListBullet"/>
      </w:pPr>
      <w:r>
        <w:t>Jahresabschluss letzte Einreichung: 2022 (Rückstand bei 2023 und 2024 festgestellt)</w:t>
      </w:r>
    </w:p>
    <w:p>
      <w:pPr>
        <w:jc w:val="left"/>
      </w:pPr>
      <w:r>
        <w:rPr>
          <w:b/>
        </w:rPr>
        <w:t>Bewertung:</w:t>
      </w:r>
      <w:r>
        <w:t xml:space="preserve"> Nominee-Strukturen in Zypern sind ein klassisches Verschleierungsmuster. Der fehlende Jahresabschluss 2023/2024 ist ein weiterer Risikoindikator (laufende operative Tätigkeit ohne Offenlegung).</w:t>
      </w:r>
    </w:p>
    <w:p>
      <w:pPr>
        <w:pStyle w:val="Heading3"/>
      </w:pPr>
      <w:r>
        <w:rPr>
          <w:rFonts w:ascii="Times New Roman" w:hAnsi="Times New Roman"/>
        </w:rPr>
        <w:t>3.3 Abfrage Rumänisches Handelsregister (ONRC)</w:t>
      </w:r>
    </w:p>
    <w:p>
      <w:pPr>
        <w:pStyle w:val="ListBullet"/>
      </w:pPr>
      <w:r>
        <w:t>Abfragedatum: 23.04.2026</w:t>
      </w:r>
    </w:p>
    <w:p>
      <w:pPr>
        <w:pStyle w:val="ListBullet"/>
      </w:pPr>
      <w:r>
        <w:t>Ergebnis: Danube Trade Solutions SRL korrekt eingetragen; GF Andrei Moldovan; Alleingesellschafter laut ONRC-Auszug: Blue Harbor Holdings Ltd. — keine natürliche Person</w:t>
      </w:r>
    </w:p>
    <w:p>
      <w:pPr>
        <w:pStyle w:val="ListBullet"/>
      </w:pPr>
      <w:r>
        <w:t>Stammkapital: 200 RON (rd. 40 EUR) — sehr niedriges Stammkapital für behauptetes Jahresvolumen</w:t>
      </w:r>
    </w:p>
    <w:p>
      <w:pPr>
        <w:pStyle w:val="ListBullet"/>
      </w:pPr>
      <w:r>
        <w:t>Jahresabschlüsse: 2019 und 2020 eingereicht; 2021–2024 fehlen</w:t>
      </w:r>
    </w:p>
    <w:p>
      <w:pPr>
        <w:jc w:val="left"/>
      </w:pPr>
      <w:r>
        <w:rPr>
          <w:b/>
        </w:rPr>
        <w:t>Bewertung:</w:t>
      </w:r>
      <w:r>
        <w:t xml:space="preserve"> Das Fehlen von Jahresabschlüssen seit 2021 ist ein erhebliches Warnsignal; das Unternehmen erwirtschaftet angeblich Millionenumsätze ohne nachweisbare finanzielle Substanz.</w:t>
      </w:r>
    </w:p>
    <w:p>
      <w:pPr>
        <w:pStyle w:val="Heading3"/>
      </w:pPr>
      <w:r>
        <w:rPr>
          <w:rFonts w:ascii="Times New Roman" w:hAnsi="Times New Roman"/>
        </w:rPr>
        <w:t>3.4 Datenbank-Recherche und öffentliche Quellen</w:t>
      </w:r>
    </w:p>
    <w:p>
      <w:pPr>
        <w:pStyle w:val="ListBullet"/>
      </w:pPr>
      <w:r>
        <w:t>OpenCorporates-Abfrage Blue Harbor Holdings: Bestätigt Nikosia-Registrierung; keine weiteren Hinweise</w:t>
      </w:r>
    </w:p>
    <w:p>
      <w:pPr>
        <w:pStyle w:val="ListBullet"/>
      </w:pPr>
      <w:r>
        <w:t>ICIJ Offshore Leaks Database: Keine Einträge zu Blue Harbor Holdings Ltd. (HE 387421) gefunden</w:t>
      </w:r>
    </w:p>
    <w:p>
      <w:pPr>
        <w:pStyle w:val="ListBullet"/>
      </w:pPr>
      <w:r>
        <w:t>Reuters/OCCRP-Recherchen: Keine direkten Treffer zu Blue Harbor Holdings (HE 387421)</w:t>
      </w:r>
    </w:p>
    <w:p>
      <w:pPr>
        <w:pStyle w:val="ListBullet"/>
      </w:pPr>
      <w:r>
        <w:t>LinkedIn / Unternehmenswebsite: Kein öffentlicher Web-Auftritt von Blue Harbor Holdings Ltd.; Danube Trade Solutions SRL hat Website-Stub ohne operative Inhalte</w:t>
      </w:r>
    </w:p>
    <w:p>
      <w:pPr>
        <w:pStyle w:val="Heading3"/>
      </w:pPr>
      <w:r>
        <w:rPr>
          <w:rFonts w:ascii="Times New Roman" w:hAnsi="Times New Roman"/>
        </w:rPr>
        <w:t>3.5 Zweite Anforderung UBO-Nachweis (08.05.2026)</w:t>
      </w:r>
    </w:p>
    <w:p>
      <w:pPr>
        <w:jc w:val="left"/>
      </w:pPr>
      <w:r>
        <w:t>Mit Schreiben vom 08.05.2026 wurde Danube Trade Solutions SRL erneut aufgefordert, innerhalb von fünf Werktagen folgende Unterlagen zu übermitteln:</w:t>
      </w:r>
    </w:p>
    <w:p>
      <w:pPr>
        <w:pStyle w:val="ListBullet"/>
      </w:pPr>
      <w:r>
        <w:t>Gesellschaftsvertrag / Satzung Blue Harbor Holdings Ltd.</w:t>
      </w:r>
    </w:p>
    <w:p>
      <w:pPr>
        <w:pStyle w:val="ListBullet"/>
      </w:pPr>
      <w:r>
        <w:t>Treuhandvertrag mit Name(n) der Begünstigten</w:t>
      </w:r>
    </w:p>
    <w:p>
      <w:pPr>
        <w:pStyle w:val="ListBullet"/>
      </w:pPr>
      <w:r>
        <w:t>Nachweis wirtschaftliches Eigentum der natürlichen Personen (notariell beglaubigt)</w:t>
      </w:r>
    </w:p>
    <w:p>
      <w:pPr>
        <w:pStyle w:val="ListBullet"/>
      </w:pPr>
      <w:r>
        <w:t>Bankreferenz Blue Harbor Holdings Ltd.</w:t>
      </w:r>
    </w:p>
    <w:p>
      <w:pPr>
        <w:jc w:val="left"/>
      </w:pPr>
      <w:r>
        <w:rPr>
          <w:b/>
        </w:rPr>
        <w:t>Ergebnis:</w:t>
      </w:r>
      <w:r>
        <w:t xml:space="preserve"> Keine Antwort bis zum 15.05.2026 (Ablauf Frist). E-Mail am 16.05.2026 ohne Reaktion geblieben.</w:t>
      </w:r>
    </w:p>
    <w:p/>
    <w:p>
      <w:pPr>
        <w:pStyle w:val="Heading2"/>
      </w:pPr>
      <w:r>
        <w:rPr>
          <w:rFonts w:ascii="Times New Roman" w:hAnsi="Times New Roman"/>
        </w:rPr>
        <w:t>4. Wirtschaftlich Berechtigter nach Auffangregel</w:t>
      </w:r>
    </w:p>
    <w:p>
      <w:pPr>
        <w:jc w:val="left"/>
      </w:pPr>
      <w:r>
        <w:t>Da keine natürliche Person als wirtschaftlich Berechtigter ermittelt werden konnte, greift Paragraf 3 Absatz 2 Satz 2 GwG: Als wirtschaftlich Berechtigter gilt in diesem Fall der gesetzliche Vertreter, also Andrei Moldovan als GF der Danube Trade Solutions SRL.</w:t>
      </w:r>
    </w:p>
    <w:p/>
    <w:p>
      <w:pPr>
        <w:pStyle w:val="Heading2"/>
      </w:pPr>
      <w:r>
        <w:rPr>
          <w:rFonts w:ascii="Times New Roman" w:hAnsi="Times New Roman"/>
        </w:rPr>
        <w:t>5. Diagramm der Beteiligungsstruktur (Stand Mai 2026)</w:t>
      </w:r>
    </w:p>
    <w:p>
      <w:pPr>
        <w:jc w:val="left"/>
      </w:pPr>
      <w:r>
        <w:t>```</w:t>
      </w:r>
    </w:p>
    <w:p>
      <w:pPr>
        <w:jc w:val="left"/>
      </w:pPr>
      <w:r>
        <w:t>Natürliche Person(en) — UNBEKANNT</w:t>
      </w:r>
    </w:p>
    <w:p>
      <w:pPr>
        <w:jc w:val="left"/>
      </w:pPr>
      <w:r>
        <w:t>Treuhandvertrag (nicht offengelegt)</w:t>
      </w:r>
    </w:p>
    <w:p>
      <w:pPr>
        <w:jc w:val="left"/>
      </w:pPr>
      <w:r>
        <w:t>Blue Harbor Holdings Ltd.</w:t>
      </w:r>
    </w:p>
    <w:p>
      <w:pPr>
        <w:jc w:val="left"/>
      </w:pPr>
      <w:r>
        <w:t>Nikosia, Zypern (HE 387421)</w:t>
      </w:r>
    </w:p>
    <w:p>
      <w:pPr>
        <w:jc w:val="left"/>
      </w:pPr>
      <w:r>
        <w:t>Nominee Director: Panikos Stavridis</w:t>
      </w:r>
    </w:p>
    <w:p>
      <w:pPr>
        <w:jc w:val="left"/>
      </w:pPr>
      <w:r>
        <w:t>100 % Anteile</w:t>
      </w:r>
    </w:p>
    <w:p>
      <w:pPr>
        <w:jc w:val="left"/>
      </w:pPr>
      <w:r>
        <w:t>Danube Trade Solutions SRL</w:t>
      </w:r>
    </w:p>
    <w:p>
      <w:pPr>
        <w:jc w:val="left"/>
      </w:pPr>
      <w:r>
        <w:t>Bukarest, Rumänien (J40/12847/2019)</w:t>
      </w:r>
    </w:p>
    <w:p>
      <w:pPr>
        <w:jc w:val="left"/>
      </w:pPr>
      <w:r>
        <w:t>GF: Andrei Moldovan</w:t>
      </w:r>
    </w:p>
    <w:p>
      <w:pPr>
        <w:jc w:val="left"/>
      </w:pPr>
      <w:r>
        <w:t>Distributorvertrag</w:t>
      </w:r>
    </w:p>
    <w:p>
      <w:pPr>
        <w:jc w:val="left"/>
      </w:pPr>
      <w:r>
        <w:t>Musterholding GmbH</w:t>
      </w:r>
    </w:p>
    <w:p>
      <w:pPr>
        <w:jc w:val="left"/>
      </w:pPr>
      <w:r>
        <w:t>Frankfurt am Main</w:t>
      </w:r>
    </w:p>
    <w:p>
      <w:pPr>
        <w:jc w:val="left"/>
      </w:pPr>
      <w:r>
        <w:t>```</w:t>
      </w:r>
    </w:p>
    <w:p/>
    <w:p>
      <w:pPr>
        <w:pStyle w:val="Heading2"/>
      </w:pPr>
      <w:r>
        <w:rPr>
          <w:rFonts w:ascii="Times New Roman" w:hAnsi="Times New Roman"/>
        </w:rPr>
        <w:t>6. Bewertung und Schlussfolgerung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Kriterium</w:t>
            </w:r>
          </w:p>
        </w:tc>
        <w:tc>
          <w:tcPr>
            <w:tcW w:type="dxa" w:w="4536"/>
          </w:tcPr>
          <w:p>
            <w:r>
              <w:rPr>
                <w:rFonts w:ascii="Times New Roman" w:hAnsi="Times New Roman"/>
                <w:b/>
                <w:sz w:val="20"/>
              </w:rPr>
              <w:t>Befund</w:t>
            </w:r>
          </w:p>
        </w:tc>
      </w:tr>
      <w:tr>
        <w:tc>
          <w:tcPr>
            <w:tcW w:type="dxa" w:w="4536"/>
          </w:tcPr>
          <w:p>
            <w:r>
              <w:rPr>
                <w:rFonts w:ascii="Times New Roman" w:hAnsi="Times New Roman"/>
                <w:sz w:val="20"/>
              </w:rPr>
              <w:t>UBO ermittelt?</w:t>
            </w:r>
          </w:p>
        </w:tc>
        <w:tc>
          <w:tcPr>
            <w:tcW w:type="dxa" w:w="4536"/>
          </w:tcPr>
          <w:p>
            <w:r>
              <w:rPr>
                <w:rFonts w:ascii="Times New Roman" w:hAnsi="Times New Roman"/>
                <w:sz w:val="20"/>
              </w:rPr>
              <w:t>Nein — keine natürliche Person identifiziert</w:t>
            </w:r>
          </w:p>
        </w:tc>
      </w:tr>
      <w:tr>
        <w:tc>
          <w:tcPr>
            <w:tcW w:type="dxa" w:w="4536"/>
          </w:tcPr>
          <w:p>
            <w:r>
              <w:rPr>
                <w:rFonts w:ascii="Times New Roman" w:hAnsi="Times New Roman"/>
                <w:sz w:val="20"/>
              </w:rPr>
              <w:t>Kooperation Vertragspartner</w:t>
            </w:r>
          </w:p>
        </w:tc>
        <w:tc>
          <w:tcPr>
            <w:tcW w:type="dxa" w:w="4536"/>
          </w:tcPr>
          <w:p>
            <w:r>
              <w:rPr>
                <w:rFonts w:ascii="Times New Roman" w:hAnsi="Times New Roman"/>
                <w:sz w:val="20"/>
              </w:rPr>
              <w:t>Mangelhaft — zwei Anforderungen ohne substantielle Antwort</w:t>
            </w:r>
          </w:p>
        </w:tc>
      </w:tr>
      <w:tr>
        <w:tc>
          <w:tcPr>
            <w:tcW w:type="dxa" w:w="4536"/>
          </w:tcPr>
          <w:p>
            <w:r>
              <w:rPr>
                <w:rFonts w:ascii="Times New Roman" w:hAnsi="Times New Roman"/>
                <w:sz w:val="20"/>
              </w:rPr>
              <w:t>Beteiligungsstruktur transparent?</w:t>
            </w:r>
          </w:p>
        </w:tc>
        <w:tc>
          <w:tcPr>
            <w:tcW w:type="dxa" w:w="4536"/>
          </w:tcPr>
          <w:p>
            <w:r>
              <w:rPr>
                <w:rFonts w:ascii="Times New Roman" w:hAnsi="Times New Roman"/>
                <w:sz w:val="20"/>
              </w:rPr>
              <w:t>Nein — Offshore-Holding + Nominee-Struktur</w:t>
            </w:r>
          </w:p>
        </w:tc>
      </w:tr>
      <w:tr>
        <w:tc>
          <w:tcPr>
            <w:tcW w:type="dxa" w:w="4536"/>
          </w:tcPr>
          <w:p>
            <w:r>
              <w:rPr>
                <w:rFonts w:ascii="Times New Roman" w:hAnsi="Times New Roman"/>
                <w:sz w:val="20"/>
              </w:rPr>
              <w:t>Finanzdaten verfügbar?</w:t>
            </w:r>
          </w:p>
        </w:tc>
        <w:tc>
          <w:tcPr>
            <w:tcW w:type="dxa" w:w="4536"/>
          </w:tcPr>
          <w:p>
            <w:r>
              <w:rPr>
                <w:rFonts w:ascii="Times New Roman" w:hAnsi="Times New Roman"/>
                <w:sz w:val="20"/>
              </w:rPr>
              <w:t>Nein — keine Jahresabschlüsse seit 2021</w:t>
            </w:r>
          </w:p>
        </w:tc>
      </w:tr>
      <w:tr>
        <w:tc>
          <w:tcPr>
            <w:tcW w:type="dxa" w:w="4536"/>
          </w:tcPr>
          <w:p>
            <w:r>
              <w:rPr>
                <w:rFonts w:ascii="Times New Roman" w:hAnsi="Times New Roman"/>
                <w:sz w:val="20"/>
              </w:rPr>
              <w:t>Risikoeinstufung UBO-Bereich</w:t>
            </w:r>
          </w:p>
        </w:tc>
        <w:tc>
          <w:tcPr>
            <w:tcW w:type="dxa" w:w="4536"/>
          </w:tcPr>
          <w:p>
            <w:r>
              <w:rPr>
                <w:rFonts w:ascii="Times New Roman" w:hAnsi="Times New Roman"/>
                <w:b/>
                <w:sz w:val="20"/>
              </w:rPr>
              <w:t>Hoch</w:t>
            </w:r>
          </w:p>
        </w:tc>
      </w:tr>
      <w:tr>
        <w:tc>
          <w:tcPr>
            <w:tcW w:type="dxa" w:w="4536"/>
          </w:tcPr>
          <w:p>
            <w:r>
              <w:rPr>
                <w:rFonts w:ascii="Times New Roman" w:hAnsi="Times New Roman"/>
                <w:sz w:val="20"/>
              </w:rPr>
              <w:t>Empfehlung</w:t>
            </w:r>
          </w:p>
        </w:tc>
        <w:tc>
          <w:tcPr>
            <w:tcW w:type="dxa" w:w="4536"/>
          </w:tcPr>
          <w:p>
            <w:r>
              <w:rPr>
                <w:rFonts w:ascii="Times New Roman" w:hAnsi="Times New Roman"/>
                <w:sz w:val="20"/>
              </w:rPr>
              <w:t>Geschäftsbeziehung suspendieren; Verdachtsmeldung eingeleitet</w:t>
            </w:r>
          </w:p>
        </w:tc>
      </w:tr>
    </w:tbl>
    <w:p>
      <w:pPr>
        <w:jc w:val="left"/>
      </w:pPr>
      <w:r>
        <w:t>Die mangelnde Kooperation bei der UBO-Offenlegung ist nach den FATF-Leitlinien (Guideline R.10 Note 12) und der BaFin-Auslegungs- und Anwendungshinweis zum GwG (AuA 2021) als eigenständiges erhöhtes Risiko zu werten. In Verbindung mit den übrigen Hochrisikoindikationen (PEP, Drittzahlung, niedriges Stammkapital, fehlende Finanzunterlagen) übersteigt die Kumulierung der Risiken die Toleranzgrenze der Musterholding GmbH.</w:t>
      </w:r>
    </w:p>
    <w:p/>
    <w:p>
      <w:pPr>
        <w:pStyle w:val="Heading2"/>
      </w:pPr>
      <w:r>
        <w:rPr>
          <w:rFonts w:ascii="Times New Roman" w:hAnsi="Times New Roman"/>
        </w:rPr>
        <w:t>7. Nächste Schritte</w:t>
      </w:r>
    </w:p>
    <w:p>
      <w:pPr>
        <w:pStyle w:val="ListNumber"/>
      </w:pPr>
      <w:r>
        <w:t>Verdachtsmeldung VM-MH-2026-0041 wurde am 19.05.2026 an die FIU übermittelt.</w:t>
      </w:r>
    </w:p>
    <w:p>
      <w:pPr>
        <w:pStyle w:val="ListNumber"/>
      </w:pPr>
      <w:r>
        <w:t>Transaktionsstopp bleibt aufrechterhalten bis zur Freigabe durch FIU (§ 46 GwG).</w:t>
      </w:r>
    </w:p>
    <w:p>
      <w:pPr>
        <w:pStyle w:val="ListNumber"/>
      </w:pPr>
      <w:r>
        <w:t>Dieses Dokument wird als Anlage zur Verdachtsmeldung beigefügt.</w:t>
      </w:r>
    </w:p>
    <w:p>
      <w:pPr>
        <w:pStyle w:val="ListNumber"/>
      </w:pPr>
      <w:r>
        <w:t>Abschlussbewertung durch RA Dr. Heller bestätigt: Ablehnung der Geschäftsbeziehung empfohlen.</w:t>
      </w:r>
    </w:p>
    <w:p>
      <w:pPr>
        <w:pStyle w:val="ListNumber"/>
      </w:pPr>
      <w:r>
        <w:t>Transparenzregister-Abfrage für Musterholding Immobilien GmbH separat eingeleitet.</w:t>
      </w:r>
    </w:p>
    <w:p/>
    <w:p>
      <w:pPr>
        <w:jc w:val="left"/>
      </w:pPr>
      <w:r>
        <w:rPr>
          <w:i/>
        </w:rPr>
        <w:t>Dokument-Nr.: UBO-MH-2026-0028 — Musterholding GmbH / Geldwäschebeauftragter</w:t>
      </w:r>
    </w:p>
    <w:p>
      <w:pPr>
        <w:jc w:val="left"/>
      </w:pPr>
      <w:r>
        <w:rPr>
          <w:i/>
        </w:rPr>
        <w:t>Aufbewahrungsfrist: 5 Jahre (§ 8 Abs. 4 GwG)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