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PEP- und Sanktionslisten-Trefferbewertung</w:t>
      </w:r>
    </w:p>
    <w:p>
      <w:pPr>
        <w:jc w:val="left"/>
      </w:pPr>
      <w:r>
        <w:rPr>
          <w:b/>
        </w:rPr>
        <w:t>Dokument-Nr.:</w:t>
      </w:r>
      <w:r>
        <w:t xml:space="preserve"> SCREEN-MH-2026-0028</w:t>
      </w:r>
    </w:p>
    <w:p>
      <w:pPr>
        <w:jc w:val="left"/>
      </w:pPr>
      <w:r>
        <w:rPr>
          <w:b/>
        </w:rPr>
        <w:t>Erstellt von:</w:t>
      </w:r>
      <w:r>
        <w:t xml:space="preserve"> Thomas Eckhardt (Geldwäschebeauftragter)</w:t>
      </w:r>
    </w:p>
    <w:p>
      <w:pPr>
        <w:jc w:val="left"/>
      </w:pPr>
      <w:r>
        <w:rPr>
          <w:b/>
        </w:rPr>
        <w:t>Vier-Augen-Prüfung:</w:t>
      </w:r>
      <w:r>
        <w:t xml:space="preserve"> Klaus-Dieter Brenner (GF), bestätigt 14.05.2026</w:t>
      </w:r>
    </w:p>
    <w:p>
      <w:pPr>
        <w:jc w:val="left"/>
      </w:pPr>
      <w:r>
        <w:rPr>
          <w:b/>
        </w:rPr>
        <w:t>Rechtsgrundlage:</w:t>
      </w:r>
      <w:r>
        <w:t xml:space="preserve"> § 1 Abs. 12 GwG (PEP); § 15 GwG (verstärkte Sorgfalt); VO (EU) 2580/2001; VO (EU) 833/2014 (Sanktionen)</w:t>
      </w:r>
    </w:p>
    <w:p>
      <w:pPr>
        <w:jc w:val="left"/>
      </w:pPr>
      <w:r>
        <w:rPr>
          <w:b/>
        </w:rPr>
        <w:t>Screening-Tool:</w:t>
      </w:r>
      <w:r>
        <w:t xml:space="preserve"> LSEG World-Check One (lizenziert); EU-Sanktionsregister (EUR-Lex); OFAC SDN; UN-Sanktionsliste</w:t>
      </w:r>
    </w:p>
    <w:p>
      <w:pPr>
        <w:jc w:val="left"/>
      </w:pPr>
      <w:r>
        <w:rPr>
          <w:b/>
        </w:rPr>
        <w:t>Abfragedatum:</w:t>
      </w:r>
      <w:r>
        <w:t xml:space="preserve"> 22.04.2026 (Erstabfrage), 10.05.2026 (Wiederholungsabfrage)</w:t>
      </w:r>
    </w:p>
    <w:p/>
    <w:p>
      <w:pPr>
        <w:pStyle w:val="Heading2"/>
      </w:pPr>
      <w:r>
        <w:rPr>
          <w:rFonts w:ascii="Times New Roman" w:hAnsi="Times New Roman"/>
        </w:rPr>
        <w:t>1. Screening-Gegenstand und Umfang</w:t>
      </w:r>
    </w:p>
    <w:p>
      <w:pPr>
        <w:jc w:val="left"/>
      </w:pPr>
      <w:r>
        <w:t>Im Rahmen der KYC-Prüfung zu Danube Trade Solutions SRL wurden folgende Personen und Einheiten einem systematischen PEP- und Sanktionsscreening unterzogen: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Geprüfte Person / Einheit</w:t>
            </w:r>
          </w:p>
        </w:tc>
        <w:tc>
          <w:tcPr>
            <w:tcW w:type="dxa" w:w="2268"/>
          </w:tcPr>
          <w:p>
            <w:r>
              <w:rPr>
                <w:rFonts w:ascii="Times New Roman" w:hAnsi="Times New Roman"/>
                <w:b/>
                <w:sz w:val="20"/>
              </w:rPr>
              <w:t>Funktion</w:t>
            </w:r>
          </w:p>
        </w:tc>
        <w:tc>
          <w:tcPr>
            <w:tcW w:type="dxa" w:w="2268"/>
          </w:tcPr>
          <w:p>
            <w:r>
              <w:rPr>
                <w:rFonts w:ascii="Times New Roman" w:hAnsi="Times New Roman"/>
                <w:b/>
                <w:sz w:val="20"/>
              </w:rPr>
              <w:t>Abfragedatum</w:t>
            </w:r>
          </w:p>
        </w:tc>
      </w:tr>
      <w:tr>
        <w:tc>
          <w:tcPr>
            <w:tcW w:type="dxa" w:w="2268"/>
          </w:tcPr>
          <w:p>
            <w:r>
              <w:rPr>
                <w:rFonts w:ascii="Times New Roman" w:hAnsi="Times New Roman"/>
                <w:sz w:val="20"/>
              </w:rPr>
              <w:t>1</w:t>
            </w:r>
          </w:p>
        </w:tc>
        <w:tc>
          <w:tcPr>
            <w:tcW w:type="dxa" w:w="2268"/>
          </w:tcPr>
          <w:p>
            <w:r>
              <w:rPr>
                <w:rFonts w:ascii="Times New Roman" w:hAnsi="Times New Roman"/>
                <w:sz w:val="20"/>
              </w:rPr>
              <w:t>Andrei Constantin Moldovan</w:t>
            </w:r>
          </w:p>
        </w:tc>
        <w:tc>
          <w:tcPr>
            <w:tcW w:type="dxa" w:w="2268"/>
          </w:tcPr>
          <w:p>
            <w:r>
              <w:rPr>
                <w:rFonts w:ascii="Times New Roman" w:hAnsi="Times New Roman"/>
                <w:sz w:val="20"/>
              </w:rPr>
              <w:t>GF Danube Trade Solutions SRL</w:t>
            </w:r>
          </w:p>
        </w:tc>
        <w:tc>
          <w:tcPr>
            <w:tcW w:type="dxa" w:w="2268"/>
          </w:tcPr>
          <w:p>
            <w:r>
              <w:rPr>
                <w:rFonts w:ascii="Times New Roman" w:hAnsi="Times New Roman"/>
                <w:sz w:val="20"/>
              </w:rPr>
              <w:t>22.04.2026</w:t>
            </w:r>
          </w:p>
        </w:tc>
      </w:tr>
      <w:tr>
        <w:tc>
          <w:tcPr>
            <w:tcW w:type="dxa" w:w="2268"/>
          </w:tcPr>
          <w:p>
            <w:r>
              <w:rPr>
                <w:rFonts w:ascii="Times New Roman" w:hAnsi="Times New Roman"/>
                <w:sz w:val="20"/>
              </w:rPr>
              <w:t>2</w:t>
            </w:r>
          </w:p>
        </w:tc>
        <w:tc>
          <w:tcPr>
            <w:tcW w:type="dxa" w:w="2268"/>
          </w:tcPr>
          <w:p>
            <w:r>
              <w:rPr>
                <w:rFonts w:ascii="Times New Roman" w:hAnsi="Times New Roman"/>
                <w:sz w:val="20"/>
              </w:rPr>
              <w:t>Blue Harbor Holdings Ltd.</w:t>
            </w:r>
          </w:p>
        </w:tc>
        <w:tc>
          <w:tcPr>
            <w:tcW w:type="dxa" w:w="2268"/>
          </w:tcPr>
          <w:p>
            <w:r>
              <w:rPr>
                <w:rFonts w:ascii="Times New Roman" w:hAnsi="Times New Roman"/>
                <w:sz w:val="20"/>
              </w:rPr>
              <w:t>Gesellschafter Danube Trade (Zypern)</w:t>
            </w:r>
          </w:p>
        </w:tc>
        <w:tc>
          <w:tcPr>
            <w:tcW w:type="dxa" w:w="2268"/>
          </w:tcPr>
          <w:p>
            <w:r>
              <w:rPr>
                <w:rFonts w:ascii="Times New Roman" w:hAnsi="Times New Roman"/>
                <w:sz w:val="20"/>
              </w:rPr>
              <w:t>22.04.2026</w:t>
            </w:r>
          </w:p>
        </w:tc>
      </w:tr>
      <w:tr>
        <w:tc>
          <w:tcPr>
            <w:tcW w:type="dxa" w:w="2268"/>
          </w:tcPr>
          <w:p>
            <w:r>
              <w:rPr>
                <w:rFonts w:ascii="Times New Roman" w:hAnsi="Times New Roman"/>
                <w:sz w:val="20"/>
              </w:rPr>
              <w:t>3</w:t>
            </w:r>
          </w:p>
        </w:tc>
        <w:tc>
          <w:tcPr>
            <w:tcW w:type="dxa" w:w="2268"/>
          </w:tcPr>
          <w:p>
            <w:r>
              <w:rPr>
                <w:rFonts w:ascii="Times New Roman" w:hAnsi="Times New Roman"/>
                <w:sz w:val="20"/>
              </w:rPr>
              <w:t>Adriatic Commerce Ltd.</w:t>
            </w:r>
          </w:p>
        </w:tc>
        <w:tc>
          <w:tcPr>
            <w:tcW w:type="dxa" w:w="2268"/>
          </w:tcPr>
          <w:p>
            <w:r>
              <w:rPr>
                <w:rFonts w:ascii="Times New Roman" w:hAnsi="Times New Roman"/>
                <w:sz w:val="20"/>
              </w:rPr>
              <w:t>Drittzahler (Malta)</w:t>
            </w:r>
          </w:p>
        </w:tc>
        <w:tc>
          <w:tcPr>
            <w:tcW w:type="dxa" w:w="2268"/>
          </w:tcPr>
          <w:p>
            <w:r>
              <w:rPr>
                <w:rFonts w:ascii="Times New Roman" w:hAnsi="Times New Roman"/>
                <w:sz w:val="20"/>
              </w:rPr>
              <w:t>29.04.2026</w:t>
            </w:r>
          </w:p>
        </w:tc>
      </w:tr>
      <w:tr>
        <w:tc>
          <w:tcPr>
            <w:tcW w:type="dxa" w:w="2268"/>
          </w:tcPr>
          <w:p>
            <w:r>
              <w:rPr>
                <w:rFonts w:ascii="Times New Roman" w:hAnsi="Times New Roman"/>
                <w:sz w:val="20"/>
              </w:rPr>
              <w:t>4</w:t>
            </w:r>
          </w:p>
        </w:tc>
        <w:tc>
          <w:tcPr>
            <w:tcW w:type="dxa" w:w="2268"/>
          </w:tcPr>
          <w:p>
            <w:r>
              <w:rPr>
                <w:rFonts w:ascii="Times New Roman" w:hAnsi="Times New Roman"/>
                <w:sz w:val="20"/>
              </w:rPr>
              <w:t>Panikos Stavridis</w:t>
            </w:r>
          </w:p>
        </w:tc>
        <w:tc>
          <w:tcPr>
            <w:tcW w:type="dxa" w:w="2268"/>
          </w:tcPr>
          <w:p>
            <w:r>
              <w:rPr>
                <w:rFonts w:ascii="Times New Roman" w:hAnsi="Times New Roman"/>
                <w:sz w:val="20"/>
              </w:rPr>
              <w:t>Nominee Director Blue Harbor</w:t>
            </w:r>
          </w:p>
        </w:tc>
        <w:tc>
          <w:tcPr>
            <w:tcW w:type="dxa" w:w="2268"/>
          </w:tcPr>
          <w:p>
            <w:r>
              <w:rPr>
                <w:rFonts w:ascii="Times New Roman" w:hAnsi="Times New Roman"/>
                <w:sz w:val="20"/>
              </w:rPr>
              <w:t>25.04.2026</w:t>
            </w:r>
          </w:p>
        </w:tc>
      </w:tr>
    </w:tbl>
    <w:p>
      <w:pPr>
        <w:jc w:val="left"/>
      </w:pPr>
      <w:r>
        <w:t>Zusätzlich werden quartalsweise alle Bestandskunden gescreent. Der aktuelle Quartalslauf wurde am 01.04.2026 durchgeführt (kein neuer Hochrisiko-Treffer außer dem vorliegenden Fall).</w:t>
      </w:r>
    </w:p>
    <w:p/>
    <w:p>
      <w:pPr>
        <w:pStyle w:val="Heading2"/>
      </w:pPr>
      <w:r>
        <w:rPr>
          <w:rFonts w:ascii="Times New Roman" w:hAnsi="Times New Roman"/>
        </w:rPr>
        <w:t>2. Treffer 1: Andrei Constantin Moldovan — PEP-Verdacht</w:t>
      </w:r>
    </w:p>
    <w:p>
      <w:pPr>
        <w:pStyle w:val="Heading3"/>
      </w:pPr>
      <w:r>
        <w:rPr>
          <w:rFonts w:ascii="Times New Roman" w:hAnsi="Times New Roman"/>
        </w:rPr>
        <w:t>2.1 Trefferdaten (World-Check)</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Feld</w:t>
            </w:r>
          </w:p>
        </w:tc>
        <w:tc>
          <w:tcPr>
            <w:tcW w:type="dxa" w:w="3024"/>
          </w:tcPr>
          <w:p>
            <w:r>
              <w:rPr>
                <w:rFonts w:ascii="Times New Roman" w:hAnsi="Times New Roman"/>
                <w:b/>
                <w:sz w:val="20"/>
              </w:rPr>
              <w:t>Abfrage-Datensatz</w:t>
            </w:r>
          </w:p>
        </w:tc>
        <w:tc>
          <w:tcPr>
            <w:tcW w:type="dxa" w:w="3024"/>
          </w:tcPr>
          <w:p>
            <w:r>
              <w:rPr>
                <w:rFonts w:ascii="Times New Roman" w:hAnsi="Times New Roman"/>
                <w:b/>
                <w:sz w:val="20"/>
              </w:rPr>
              <w:t>Treffer-Datensatz</w:t>
            </w:r>
          </w:p>
        </w:tc>
      </w:tr>
      <w:tr>
        <w:tc>
          <w:tcPr>
            <w:tcW w:type="dxa" w:w="3024"/>
          </w:tcPr>
          <w:p>
            <w:r>
              <w:rPr>
                <w:rFonts w:ascii="Times New Roman" w:hAnsi="Times New Roman"/>
                <w:b/>
                <w:sz w:val="20"/>
              </w:rPr>
              <w:t>Name</w:t>
            </w:r>
          </w:p>
        </w:tc>
        <w:tc>
          <w:tcPr>
            <w:tcW w:type="dxa" w:w="3024"/>
          </w:tcPr>
          <w:p>
            <w:r>
              <w:rPr>
                <w:rFonts w:ascii="Times New Roman" w:hAnsi="Times New Roman"/>
                <w:sz w:val="20"/>
              </w:rPr>
              <w:t>Andrei Constantin Moldovan</w:t>
            </w:r>
          </w:p>
        </w:tc>
        <w:tc>
          <w:tcPr>
            <w:tcW w:type="dxa" w:w="3024"/>
          </w:tcPr>
          <w:p>
            <w:r>
              <w:rPr>
                <w:rFonts w:ascii="Times New Roman" w:hAnsi="Times New Roman"/>
                <w:sz w:val="20"/>
              </w:rPr>
              <w:t>Andrei Moldovan</w:t>
            </w:r>
          </w:p>
        </w:tc>
      </w:tr>
      <w:tr>
        <w:tc>
          <w:tcPr>
            <w:tcW w:type="dxa" w:w="3024"/>
          </w:tcPr>
          <w:p>
            <w:r>
              <w:rPr>
                <w:rFonts w:ascii="Times New Roman" w:hAnsi="Times New Roman"/>
                <w:b/>
                <w:sz w:val="20"/>
              </w:rPr>
              <w:t>Geburtsdatum</w:t>
            </w:r>
          </w:p>
        </w:tc>
        <w:tc>
          <w:tcPr>
            <w:tcW w:type="dxa" w:w="3024"/>
          </w:tcPr>
          <w:p>
            <w:r>
              <w:rPr>
                <w:rFonts w:ascii="Times New Roman" w:hAnsi="Times New Roman"/>
                <w:sz w:val="20"/>
              </w:rPr>
              <w:t>14.02.1971</w:t>
            </w:r>
          </w:p>
        </w:tc>
        <w:tc>
          <w:tcPr>
            <w:tcW w:type="dxa" w:w="3024"/>
          </w:tcPr>
          <w:p>
            <w:r>
              <w:rPr>
                <w:rFonts w:ascii="Times New Roman" w:hAnsi="Times New Roman"/>
                <w:sz w:val="20"/>
              </w:rPr>
              <w:t>12.04.1969</w:t>
            </w:r>
          </w:p>
        </w:tc>
      </w:tr>
      <w:tr>
        <w:tc>
          <w:tcPr>
            <w:tcW w:type="dxa" w:w="3024"/>
          </w:tcPr>
          <w:p>
            <w:r>
              <w:rPr>
                <w:rFonts w:ascii="Times New Roman" w:hAnsi="Times New Roman"/>
                <w:b/>
                <w:sz w:val="20"/>
              </w:rPr>
              <w:t>Nationalität</w:t>
            </w:r>
          </w:p>
        </w:tc>
        <w:tc>
          <w:tcPr>
            <w:tcW w:type="dxa" w:w="3024"/>
          </w:tcPr>
          <w:p>
            <w:r>
              <w:rPr>
                <w:rFonts w:ascii="Times New Roman" w:hAnsi="Times New Roman"/>
                <w:sz w:val="20"/>
              </w:rPr>
              <w:t>Rumänisch</w:t>
            </w:r>
          </w:p>
        </w:tc>
        <w:tc>
          <w:tcPr>
            <w:tcW w:type="dxa" w:w="3024"/>
          </w:tcPr>
          <w:p>
            <w:r>
              <w:rPr>
                <w:rFonts w:ascii="Times New Roman" w:hAnsi="Times New Roman"/>
                <w:sz w:val="20"/>
              </w:rPr>
              <w:t>Rumänisch</w:t>
            </w:r>
          </w:p>
        </w:tc>
      </w:tr>
      <w:tr>
        <w:tc>
          <w:tcPr>
            <w:tcW w:type="dxa" w:w="3024"/>
          </w:tcPr>
          <w:p>
            <w:r>
              <w:rPr>
                <w:rFonts w:ascii="Times New Roman" w:hAnsi="Times New Roman"/>
                <w:b/>
                <w:sz w:val="20"/>
              </w:rPr>
              <w:t>Funktion</w:t>
            </w:r>
          </w:p>
        </w:tc>
        <w:tc>
          <w:tcPr>
            <w:tcW w:type="dxa" w:w="3024"/>
          </w:tcPr>
          <w:p>
            <w:r>
              <w:rPr>
                <w:rFonts w:ascii="Times New Roman" w:hAnsi="Times New Roman"/>
                <w:sz w:val="20"/>
              </w:rPr>
              <w:t>GF Danube Trade Solutions SRL</w:t>
            </w:r>
          </w:p>
        </w:tc>
        <w:tc>
          <w:tcPr>
            <w:tcW w:type="dxa" w:w="3024"/>
          </w:tcPr>
          <w:p>
            <w:r>
              <w:rPr>
                <w:rFonts w:ascii="Times New Roman" w:hAnsi="Times New Roman"/>
                <w:sz w:val="20"/>
              </w:rPr>
              <w:t>Ehem. stellv. Wirtschaftsminister Rumänien (2006–2009)</w:t>
            </w:r>
          </w:p>
        </w:tc>
      </w:tr>
      <w:tr>
        <w:tc>
          <w:tcPr>
            <w:tcW w:type="dxa" w:w="3024"/>
          </w:tcPr>
          <w:p>
            <w:r>
              <w:rPr>
                <w:rFonts w:ascii="Times New Roman" w:hAnsi="Times New Roman"/>
                <w:b/>
                <w:sz w:val="20"/>
              </w:rPr>
              <w:t>Kategorie im Tool</w:t>
            </w:r>
          </w:p>
        </w:tc>
        <w:tc>
          <w:tcPr>
            <w:tcW w:type="dxa" w:w="3024"/>
          </w:tcPr>
          <w:p>
            <w:r>
              <w:rPr>
                <w:rFonts w:ascii="Times New Roman" w:hAnsi="Times New Roman"/>
                <w:sz w:val="20"/>
              </w:rPr>
              <w:t>—</w:t>
            </w:r>
          </w:p>
        </w:tc>
        <w:tc>
          <w:tcPr>
            <w:tcW w:type="dxa" w:w="3024"/>
          </w:tcPr>
          <w:p>
            <w:r>
              <w:rPr>
                <w:rFonts w:ascii="Times New Roman" w:hAnsi="Times New Roman"/>
                <w:sz w:val="20"/>
              </w:rPr>
              <w:t>PEP-Tier 1 (nationales Regierungsmitglied)</w:t>
            </w:r>
          </w:p>
        </w:tc>
      </w:tr>
      <w:tr>
        <w:tc>
          <w:tcPr>
            <w:tcW w:type="dxa" w:w="3024"/>
          </w:tcPr>
          <w:p>
            <w:r>
              <w:rPr>
                <w:rFonts w:ascii="Times New Roman" w:hAnsi="Times New Roman"/>
                <w:b/>
                <w:sz w:val="20"/>
              </w:rPr>
              <w:t>Status</w:t>
            </w:r>
          </w:p>
        </w:tc>
        <w:tc>
          <w:tcPr>
            <w:tcW w:type="dxa" w:w="3024"/>
          </w:tcPr>
          <w:p>
            <w:r>
              <w:rPr>
                <w:rFonts w:ascii="Times New Roman" w:hAnsi="Times New Roman"/>
                <w:sz w:val="20"/>
              </w:rPr>
              <w:t>—</w:t>
            </w:r>
          </w:p>
        </w:tc>
        <w:tc>
          <w:tcPr>
            <w:tcW w:type="dxa" w:w="3024"/>
          </w:tcPr>
          <w:p>
            <w:r>
              <w:rPr>
                <w:rFonts w:ascii="Times New Roman" w:hAnsi="Times New Roman"/>
                <w:sz w:val="20"/>
              </w:rPr>
              <w:t>Former PEP (Amt niederlegt)</w:t>
            </w:r>
          </w:p>
        </w:tc>
      </w:tr>
      <w:tr>
        <w:tc>
          <w:tcPr>
            <w:tcW w:type="dxa" w:w="3024"/>
          </w:tcPr>
          <w:p>
            <w:r>
              <w:rPr>
                <w:rFonts w:ascii="Times New Roman" w:hAnsi="Times New Roman"/>
                <w:b/>
                <w:sz w:val="20"/>
              </w:rPr>
              <w:t>Eintragsquelle</w:t>
            </w:r>
          </w:p>
        </w:tc>
        <w:tc>
          <w:tcPr>
            <w:tcW w:type="dxa" w:w="3024"/>
          </w:tcPr>
          <w:p>
            <w:r>
              <w:rPr>
                <w:rFonts w:ascii="Times New Roman" w:hAnsi="Times New Roman"/>
                <w:sz w:val="20"/>
              </w:rPr>
              <w:t>—</w:t>
            </w:r>
          </w:p>
        </w:tc>
        <w:tc>
          <w:tcPr>
            <w:tcW w:type="dxa" w:w="3024"/>
          </w:tcPr>
          <w:p>
            <w:r>
              <w:rPr>
                <w:rFonts w:ascii="Times New Roman" w:hAnsi="Times New Roman"/>
                <w:sz w:val="20"/>
              </w:rPr>
              <w:t>rumänisches Gazette / OCCRP-Daten</w:t>
            </w:r>
          </w:p>
        </w:tc>
      </w:tr>
    </w:tbl>
    <w:p>
      <w:pPr>
        <w:pStyle w:val="Heading3"/>
      </w:pPr>
      <w:r>
        <w:rPr>
          <w:rFonts w:ascii="Times New Roman" w:hAnsi="Times New Roman"/>
        </w:rPr>
        <w:t>2.2 Prüfungsschritte</w:t>
      </w:r>
    </w:p>
    <w:p>
      <w:pPr>
        <w:jc w:val="left"/>
      </w:pPr>
      <w:r>
        <w:rPr>
          <w:b/>
        </w:rPr>
        <w:t>Schritt 1 — Namensabgleich:</w:t>
      </w:r>
    </w:p>
    <w:p>
      <w:pPr>
        <w:jc w:val="left"/>
      </w:pPr>
      <w:r>
        <w:t>Der Name "Andrei Moldovan" ist in Rumänien ein sehr verbreiteter Name (laut Statistisches Amt Rumänien im Jahr 2020 über 4.200 registrierte Personen mit diesem Namen). Die Koinzidenz des Namens allein begründet keinen PEP-Status.</w:t>
      </w:r>
    </w:p>
    <w:p>
      <w:pPr>
        <w:jc w:val="left"/>
      </w:pPr>
      <w:r>
        <w:rPr>
          <w:b/>
        </w:rPr>
        <w:t>Schritt 2 — Geburtstagabgleich:</w:t>
      </w:r>
    </w:p>
    <w:p>
      <w:pPr>
        <w:jc w:val="left"/>
      </w:pPr>
      <w:r>
        <w:t>Das Geburtsdatum des Vertragspartners (14.02.1971) weicht vom Treffer-Datensatz (12.04.1969) um exakt zwei Jahre und zwei Monate ab. Bei Datenbankeinträgen zu politischen Personen aus Osteuropa sind Erfassungsfehler (Transpositionen Tag/Monat, Jahreszahlabweichungen) aus historischen Gründen bekannt.</w:t>
      </w:r>
    </w:p>
    <w:p>
      <w:pPr>
        <w:jc w:val="left"/>
      </w:pPr>
      <w:r>
        <w:rPr>
          <w:b/>
        </w:rPr>
        <w:t>Schritt 3 — Lichtbildvergleich:</w:t>
      </w:r>
    </w:p>
    <w:p>
      <w:pPr>
        <w:jc w:val="left"/>
      </w:pPr>
      <w:r>
        <w:t>Im World-Check-Datensatz sind zwei Fotos des ehemaligen Ministers hinterlegt. Ein Vergleich mit der Reisepasskopie des GF Andrei Moldovan (geb. 1971) ergibt: keine offensichtliche Ähnlichkeit, jedoch nicht ausreichend aussagekräftig für eine definitive Ausschluss-Entscheidung ohne unabhängige biometrische Prüfung.</w:t>
      </w:r>
    </w:p>
    <w:p>
      <w:pPr>
        <w:jc w:val="left"/>
      </w:pPr>
      <w:r>
        <w:rPr>
          <w:b/>
        </w:rPr>
        <w:t>Schritt 4 — Recherche öffentliche Quellen:</w:t>
      </w:r>
    </w:p>
    <w:p>
      <w:pPr>
        <w:jc w:val="left"/>
      </w:pPr>
      <w:r>
        <w:t>Suche nach "Andrei Moldovan Wirtschaftsministerium Rumänien" in rumänischsprachigen Quellen (Mediafax, Digi24, G4Media): Der ehemalige Minister ist unter dem vollen Namen "Alexandru Andrei Moldovan" bekannt. Der Vertragspartner nennt sich "Andrei Constantin Moldovan". Diese Namensabweichung (Vorname "Alexandru" fehlt) ist ein weiteres Differenzierungsmerkmal.</w:t>
      </w:r>
    </w:p>
    <w:p>
      <w:pPr>
        <w:jc w:val="left"/>
      </w:pPr>
      <w:r>
        <w:rPr>
          <w:b/>
        </w:rPr>
        <w:t>Schritt 5 — Anfrage an Vertragspartner:</w:t>
      </w:r>
    </w:p>
    <w:p>
      <w:pPr>
        <w:jc w:val="left"/>
      </w:pPr>
      <w:r>
        <w:t>Mit Schreiben vom 25.04.2026 wurde Andrei Constantin Moldovan aufgefordert, aktiv zu bestätigen, dass er kein PEP ist (§ 15 Abs. 1 GwG ermöglicht Erklärung des Kunden). Antwort: Mit E-Mail vom 30.04.2026 bestätigte er, nie ein politisches Amt bekleidet zu haben; beigefügt war eine rumänische eidesstattliche Erklärung (Declaratie pe propria raspundere).</w:t>
      </w:r>
    </w:p>
    <w:p>
      <w:pPr>
        <w:pStyle w:val="Heading3"/>
      </w:pPr>
      <w:r>
        <w:rPr>
          <w:rFonts w:ascii="Times New Roman" w:hAnsi="Times New Roman"/>
        </w:rPr>
        <w:t>2.3 Vier-Augen-Entscheidung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Entscheidung</w:t>
            </w:r>
          </w:p>
        </w:tc>
        <w:tc>
          <w:tcPr>
            <w:tcW w:type="dxa" w:w="4536"/>
          </w:tcPr>
          <w:p>
            <w:r>
              <w:rPr>
                <w:rFonts w:ascii="Times New Roman" w:hAnsi="Times New Roman"/>
                <w:sz w:val="20"/>
              </w:rPr>
              <w:t>Vorläufiger False Positive (wahrscheinlich), aber keine abschließende Freigabe</w:t>
            </w:r>
          </w:p>
        </w:tc>
      </w:tr>
      <w:tr>
        <w:tc>
          <w:tcPr>
            <w:tcW w:type="dxa" w:w="4536"/>
          </w:tcPr>
          <w:p>
            <w:r>
              <w:rPr>
                <w:rFonts w:ascii="Times New Roman" w:hAnsi="Times New Roman"/>
                <w:b/>
                <w:sz w:val="20"/>
              </w:rPr>
              <w:t>Begründung</w:t>
            </w:r>
          </w:p>
        </w:tc>
        <w:tc>
          <w:tcPr>
            <w:tcW w:type="dxa" w:w="4536"/>
          </w:tcPr>
          <w:p>
            <w:r>
              <w:rPr>
                <w:rFonts w:ascii="Times New Roman" w:hAnsi="Times New Roman"/>
                <w:sz w:val="20"/>
              </w:rPr>
              <w:t>Geburtstagabweichung, Namensunterschied, eidesstattliche Erklärung</w:t>
            </w:r>
          </w:p>
        </w:tc>
      </w:tr>
      <w:tr>
        <w:tc>
          <w:tcPr>
            <w:tcW w:type="dxa" w:w="4536"/>
          </w:tcPr>
          <w:p>
            <w:r>
              <w:rPr>
                <w:rFonts w:ascii="Times New Roman" w:hAnsi="Times New Roman"/>
                <w:b/>
                <w:sz w:val="20"/>
              </w:rPr>
              <w:t>Verbleibende Unsicherheit</w:t>
            </w:r>
          </w:p>
        </w:tc>
        <w:tc>
          <w:tcPr>
            <w:tcW w:type="dxa" w:w="4536"/>
          </w:tcPr>
          <w:p>
            <w:r>
              <w:rPr>
                <w:rFonts w:ascii="Times New Roman" w:hAnsi="Times New Roman"/>
                <w:sz w:val="20"/>
              </w:rPr>
              <w:t>Lichtbildvergleich nicht eindeutig; Datenbankeintrag nicht ausgeschlossen</w:t>
            </w:r>
          </w:p>
        </w:tc>
      </w:tr>
      <w:tr>
        <w:tc>
          <w:tcPr>
            <w:tcW w:type="dxa" w:w="4536"/>
          </w:tcPr>
          <w:p>
            <w:r>
              <w:rPr>
                <w:rFonts w:ascii="Times New Roman" w:hAnsi="Times New Roman"/>
                <w:b/>
                <w:sz w:val="20"/>
              </w:rPr>
              <w:t>Beschlossen durch</w:t>
            </w:r>
          </w:p>
        </w:tc>
        <w:tc>
          <w:tcPr>
            <w:tcW w:type="dxa" w:w="4536"/>
          </w:tcPr>
          <w:p>
            <w:r>
              <w:rPr>
                <w:rFonts w:ascii="Times New Roman" w:hAnsi="Times New Roman"/>
                <w:sz w:val="20"/>
              </w:rPr>
              <w:t>Thomas Eckhardt (GwB) + Klaus-Dieter Brenner (GF)</w:t>
            </w:r>
          </w:p>
        </w:tc>
      </w:tr>
      <w:tr>
        <w:tc>
          <w:tcPr>
            <w:tcW w:type="dxa" w:w="4536"/>
          </w:tcPr>
          <w:p>
            <w:r>
              <w:rPr>
                <w:rFonts w:ascii="Times New Roman" w:hAnsi="Times New Roman"/>
                <w:b/>
                <w:sz w:val="20"/>
              </w:rPr>
              <w:t>Datum</w:t>
            </w:r>
          </w:p>
        </w:tc>
        <w:tc>
          <w:tcPr>
            <w:tcW w:type="dxa" w:w="4536"/>
          </w:tcPr>
          <w:p>
            <w:r>
              <w:rPr>
                <w:rFonts w:ascii="Times New Roman" w:hAnsi="Times New Roman"/>
                <w:sz w:val="20"/>
              </w:rPr>
              <w:t>14.05.2026</w:t>
            </w:r>
          </w:p>
        </w:tc>
      </w:tr>
      <w:tr>
        <w:tc>
          <w:tcPr>
            <w:tcW w:type="dxa" w:w="4536"/>
          </w:tcPr>
          <w:p>
            <w:r>
              <w:rPr>
                <w:rFonts w:ascii="Times New Roman" w:hAnsi="Times New Roman"/>
                <w:b/>
                <w:sz w:val="20"/>
              </w:rPr>
              <w:t>Konsequenz</w:t>
            </w:r>
          </w:p>
        </w:tc>
        <w:tc>
          <w:tcPr>
            <w:tcW w:type="dxa" w:w="4536"/>
          </w:tcPr>
          <w:p>
            <w:r>
              <w:rPr>
                <w:rFonts w:ascii="Times New Roman" w:hAnsi="Times New Roman"/>
                <w:sz w:val="20"/>
              </w:rPr>
              <w:t>Behandlung als PEP bis zur vollständigen Klärung; Verdachtsmeldung eingeleitet wegen Kumulierung der Risiken</w:t>
            </w:r>
          </w:p>
        </w:tc>
      </w:tr>
    </w:tbl>
    <w:p>
      <w:pPr>
        <w:ind w:left="567"/>
      </w:pPr>
      <w:r>
        <w:rPr>
          <w:b/>
          <w:i/>
        </w:rPr>
        <w:t>Ergebnis:</w:t>
      </w:r>
      <w:r>
        <w:rPr>
          <w:i/>
        </w:rPr>
        <w:t xml:space="preserve"> Der PEP-Treffer ist wahrscheinlich ein False Positive, kann aber nicht mit der erforderlichen Sicherheit ausgeschlossen werden. In Verbindung mit den übrigen Hochrisikoindikationen (Drittzahlung, UBO-Lücke) wurde die Schwelle für die Verdachtsmeldung als erreicht eingestuft.</w:t>
      </w:r>
    </w:p>
    <w:p/>
    <w:p>
      <w:pPr>
        <w:pStyle w:val="Heading2"/>
      </w:pPr>
      <w:r>
        <w:rPr>
          <w:rFonts w:ascii="Times New Roman" w:hAnsi="Times New Roman"/>
        </w:rPr>
        <w:t>3. Treffer 2: Blue Harbor Holdings Ltd. — Sanktionslisten-Ähnlichkeit</w:t>
      </w:r>
    </w:p>
    <w:p>
      <w:pPr>
        <w:pStyle w:val="Heading3"/>
      </w:pPr>
      <w:r>
        <w:rPr>
          <w:rFonts w:ascii="Times New Roman" w:hAnsi="Times New Roman"/>
        </w:rPr>
        <w:t>3.1 Trefferdaten (EU-Sanktionsregister)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Feld</w:t>
            </w:r>
          </w:p>
        </w:tc>
        <w:tc>
          <w:tcPr>
            <w:tcW w:type="dxa" w:w="3024"/>
          </w:tcPr>
          <w:p>
            <w:r>
              <w:rPr>
                <w:rFonts w:ascii="Times New Roman" w:hAnsi="Times New Roman"/>
                <w:b/>
                <w:sz w:val="20"/>
              </w:rPr>
              <w:t>Abfrage-Datensatz</w:t>
            </w:r>
          </w:p>
        </w:tc>
        <w:tc>
          <w:tcPr>
            <w:tcW w:type="dxa" w:w="3024"/>
          </w:tcPr>
          <w:p>
            <w:r>
              <w:rPr>
                <w:rFonts w:ascii="Times New Roman" w:hAnsi="Times New Roman"/>
                <w:b/>
                <w:sz w:val="20"/>
              </w:rPr>
              <w:t>Treffer-Datensatz</w:t>
            </w:r>
          </w:p>
        </w:tc>
      </w:tr>
      <w:tr>
        <w:tc>
          <w:tcPr>
            <w:tcW w:type="dxa" w:w="3024"/>
          </w:tcPr>
          <w:p>
            <w:r>
              <w:rPr>
                <w:rFonts w:ascii="Times New Roman" w:hAnsi="Times New Roman"/>
                <w:b/>
                <w:sz w:val="20"/>
              </w:rPr>
              <w:t>Name</w:t>
            </w:r>
          </w:p>
        </w:tc>
        <w:tc>
          <w:tcPr>
            <w:tcW w:type="dxa" w:w="3024"/>
          </w:tcPr>
          <w:p>
            <w:r>
              <w:rPr>
                <w:rFonts w:ascii="Times New Roman" w:hAnsi="Times New Roman"/>
                <w:sz w:val="20"/>
              </w:rPr>
              <w:t>Blue Harbor Holdings Ltd. (Zypern)</w:t>
            </w:r>
          </w:p>
        </w:tc>
        <w:tc>
          <w:tcPr>
            <w:tcW w:type="dxa" w:w="3024"/>
          </w:tcPr>
          <w:p>
            <w:r>
              <w:rPr>
                <w:rFonts w:ascii="Times New Roman" w:hAnsi="Times New Roman"/>
                <w:sz w:val="20"/>
              </w:rPr>
              <w:t>Blue Harbour Shipping Ltd. (Panama)</w:t>
            </w:r>
          </w:p>
        </w:tc>
      </w:tr>
      <w:tr>
        <w:tc>
          <w:tcPr>
            <w:tcW w:type="dxa" w:w="3024"/>
          </w:tcPr>
          <w:p>
            <w:r>
              <w:rPr>
                <w:rFonts w:ascii="Times New Roman" w:hAnsi="Times New Roman"/>
                <w:b/>
                <w:sz w:val="20"/>
              </w:rPr>
              <w:t>Registernummer</w:t>
            </w:r>
          </w:p>
        </w:tc>
        <w:tc>
          <w:tcPr>
            <w:tcW w:type="dxa" w:w="3024"/>
          </w:tcPr>
          <w:p>
            <w:r>
              <w:rPr>
                <w:rFonts w:ascii="Times New Roman" w:hAnsi="Times New Roman"/>
                <w:sz w:val="20"/>
              </w:rPr>
              <w:t>HE 387421</w:t>
            </w:r>
          </w:p>
        </w:tc>
        <w:tc>
          <w:tcPr>
            <w:tcW w:type="dxa" w:w="3024"/>
          </w:tcPr>
          <w:p>
            <w:r>
              <w:rPr>
                <w:rFonts w:ascii="Times New Roman" w:hAnsi="Times New Roman"/>
                <w:sz w:val="20"/>
              </w:rPr>
              <w:t>Nicht bekannt</w:t>
            </w:r>
          </w:p>
        </w:tc>
      </w:tr>
      <w:tr>
        <w:tc>
          <w:tcPr>
            <w:tcW w:type="dxa" w:w="3024"/>
          </w:tcPr>
          <w:p>
            <w:r>
              <w:rPr>
                <w:rFonts w:ascii="Times New Roman" w:hAnsi="Times New Roman"/>
                <w:b/>
                <w:sz w:val="20"/>
              </w:rPr>
              <w:t>Sitzland</w:t>
            </w:r>
          </w:p>
        </w:tc>
        <w:tc>
          <w:tcPr>
            <w:tcW w:type="dxa" w:w="3024"/>
          </w:tcPr>
          <w:p>
            <w:r>
              <w:rPr>
                <w:rFonts w:ascii="Times New Roman" w:hAnsi="Times New Roman"/>
                <w:sz w:val="20"/>
              </w:rPr>
              <w:t>Zypern</w:t>
            </w:r>
          </w:p>
        </w:tc>
        <w:tc>
          <w:tcPr>
            <w:tcW w:type="dxa" w:w="3024"/>
          </w:tcPr>
          <w:p>
            <w:r>
              <w:rPr>
                <w:rFonts w:ascii="Times New Roman" w:hAnsi="Times New Roman"/>
                <w:sz w:val="20"/>
              </w:rPr>
              <w:t>Panama</w:t>
            </w:r>
          </w:p>
        </w:tc>
      </w:tr>
      <w:tr>
        <w:tc>
          <w:tcPr>
            <w:tcW w:type="dxa" w:w="3024"/>
          </w:tcPr>
          <w:p>
            <w:r>
              <w:rPr>
                <w:rFonts w:ascii="Times New Roman" w:hAnsi="Times New Roman"/>
                <w:b/>
                <w:sz w:val="20"/>
              </w:rPr>
              <w:t>Listing-Grundlage</w:t>
            </w:r>
          </w:p>
        </w:tc>
        <w:tc>
          <w:tcPr>
            <w:tcW w:type="dxa" w:w="3024"/>
          </w:tcPr>
          <w:p>
            <w:r>
              <w:rPr>
                <w:rFonts w:ascii="Times New Roman" w:hAnsi="Times New Roman"/>
                <w:sz w:val="20"/>
              </w:rPr>
              <w:t>—</w:t>
            </w:r>
          </w:p>
        </w:tc>
        <w:tc>
          <w:tcPr>
            <w:tcW w:type="dxa" w:w="3024"/>
          </w:tcPr>
          <w:p>
            <w:r>
              <w:rPr>
                <w:rFonts w:ascii="Times New Roman" w:hAnsi="Times New Roman"/>
                <w:sz w:val="20"/>
              </w:rPr>
              <w:t>VO (EU) 267/2012, Anlage IX (Iran-Sanktionen), gelistet 2014</w:t>
            </w:r>
          </w:p>
        </w:tc>
      </w:tr>
      <w:tr>
        <w:tc>
          <w:tcPr>
            <w:tcW w:type="dxa" w:w="3024"/>
          </w:tcPr>
          <w:p>
            <w:r>
              <w:rPr>
                <w:rFonts w:ascii="Times New Roman" w:hAnsi="Times New Roman"/>
                <w:b/>
                <w:sz w:val="20"/>
              </w:rPr>
              <w:t>Listungsgrund</w:t>
            </w:r>
          </w:p>
        </w:tc>
        <w:tc>
          <w:tcPr>
            <w:tcW w:type="dxa" w:w="3024"/>
          </w:tcPr>
          <w:p>
            <w:r>
              <w:rPr>
                <w:rFonts w:ascii="Times New Roman" w:hAnsi="Times New Roman"/>
                <w:sz w:val="20"/>
              </w:rPr>
              <w:t>—</w:t>
            </w:r>
          </w:p>
        </w:tc>
        <w:tc>
          <w:tcPr>
            <w:tcW w:type="dxa" w:w="3024"/>
          </w:tcPr>
          <w:p>
            <w:r>
              <w:rPr>
                <w:rFonts w:ascii="Times New Roman" w:hAnsi="Times New Roman"/>
                <w:sz w:val="20"/>
              </w:rPr>
              <w:t>Transport von Öl unter Verstoß gegen Iran-Embargo</w:t>
            </w:r>
          </w:p>
        </w:tc>
      </w:tr>
    </w:tbl>
    <w:p>
      <w:pPr>
        <w:pStyle w:val="Heading3"/>
      </w:pPr>
      <w:r>
        <w:rPr>
          <w:rFonts w:ascii="Times New Roman" w:hAnsi="Times New Roman"/>
        </w:rPr>
        <w:t>3.2 Prüfungsschritte</w:t>
      </w:r>
    </w:p>
    <w:p>
      <w:pPr>
        <w:jc w:val="left"/>
      </w:pPr>
      <w:r>
        <w:rPr>
          <w:b/>
        </w:rPr>
        <w:t>Schritt 1 — Namensabgleich:</w:t>
      </w:r>
    </w:p>
    <w:p>
      <w:pPr>
        <w:jc w:val="left"/>
      </w:pPr>
      <w:r>
        <w:t>Die Namen "Blue Harbor Holdings" und "Blue Harbour Shipping" sind phonetisch ähnlich. Unterschiede: "Harbor" vs. "Harbour" (britische vs. amerikanische Schreibweise), "Holdings" vs. "Shipping" (völlig andere Unternehmensfunktion), Sitzland Zypern vs. Panama.</w:t>
      </w:r>
    </w:p>
    <w:p>
      <w:pPr>
        <w:jc w:val="left"/>
      </w:pPr>
      <w:r>
        <w:rPr>
          <w:b/>
        </w:rPr>
        <w:t>Schritt 2 — Registernummer:</w:t>
      </w:r>
    </w:p>
    <w:p>
      <w:pPr>
        <w:jc w:val="left"/>
      </w:pPr>
      <w:r>
        <w:t>Ein Abgleich der Registernummer war nicht möglich, da die gelistete panamaische Gesellschaft im EU-Sanktionsregister ohne Registernummer geführt wird. Eine Anfrage beim panamaischen Handelsregister über einen lokalen Korrespondenten ergab keine belastbaren Informationen.</w:t>
      </w:r>
    </w:p>
    <w:p>
      <w:pPr>
        <w:jc w:val="left"/>
      </w:pPr>
      <w:r>
        <w:rPr>
          <w:b/>
        </w:rPr>
        <w:t>Schritt 3 — Unternehmensgegenstand:</w:t>
      </w:r>
    </w:p>
    <w:p>
      <w:pPr>
        <w:jc w:val="left"/>
      </w:pPr>
      <w:r>
        <w:t>Die gelistete Blue Harbour Shipping Ltd. ist ein Schifffahrtsunternehmen; Blue Harbor Holdings Ltd. (Zypern) ist nach Selbstauskunft eine Beteiligungsholding ohne operatives Schifffahrtsgeschäft. Kein gemeinsames Unternehmensobjekt erkennbar.</w:t>
      </w:r>
    </w:p>
    <w:p>
      <w:pPr>
        <w:jc w:val="left"/>
      </w:pPr>
      <w:r>
        <w:rPr>
          <w:b/>
        </w:rPr>
        <w:t>Schritt 4 — Wirtschaftliche Verbindungen:</w:t>
      </w:r>
    </w:p>
    <w:p>
      <w:pPr>
        <w:jc w:val="left"/>
      </w:pPr>
      <w:r>
        <w:t>Keine nachweisbare wirtschaftliche oder personelle Verbindung zwischen beiden Unternehmen festgestellt.</w:t>
      </w:r>
    </w:p>
    <w:p>
      <w:pPr>
        <w:pStyle w:val="Heading3"/>
      </w:pPr>
      <w:r>
        <w:rPr>
          <w:rFonts w:ascii="Times New Roman" w:hAnsi="Times New Roman"/>
        </w:rPr>
        <w:t>3.3 Vier-Augen-Entscheidung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Entscheidung</w:t>
            </w:r>
          </w:p>
        </w:tc>
        <w:tc>
          <w:tcPr>
            <w:tcW w:type="dxa" w:w="4536"/>
          </w:tcPr>
          <w:p>
            <w:r>
              <w:rPr>
                <w:rFonts w:ascii="Times New Roman" w:hAnsi="Times New Roman"/>
                <w:sz w:val="20"/>
              </w:rPr>
              <w:t>False Positive (bisher nicht formell dokumentiert — Findings Audit)</w:t>
            </w:r>
          </w:p>
        </w:tc>
      </w:tr>
      <w:tr>
        <w:tc>
          <w:tcPr>
            <w:tcW w:type="dxa" w:w="4536"/>
          </w:tcPr>
          <w:p>
            <w:r>
              <w:rPr>
                <w:rFonts w:ascii="Times New Roman" w:hAnsi="Times New Roman"/>
                <w:b/>
                <w:sz w:val="20"/>
              </w:rPr>
              <w:t>Begründung</w:t>
            </w:r>
          </w:p>
        </w:tc>
        <w:tc>
          <w:tcPr>
            <w:tcW w:type="dxa" w:w="4536"/>
          </w:tcPr>
          <w:p>
            <w:r>
              <w:rPr>
                <w:rFonts w:ascii="Times New Roman" w:hAnsi="Times New Roman"/>
                <w:sz w:val="20"/>
              </w:rPr>
              <w:t>Anderer Sitzstaat, anderer Unternehmensgegenstand, kein Registernummer-Match</w:t>
            </w:r>
          </w:p>
        </w:tc>
      </w:tr>
      <w:tr>
        <w:tc>
          <w:tcPr>
            <w:tcW w:type="dxa" w:w="4536"/>
          </w:tcPr>
          <w:p>
            <w:r>
              <w:rPr>
                <w:rFonts w:ascii="Times New Roman" w:hAnsi="Times New Roman"/>
                <w:b/>
                <w:sz w:val="20"/>
              </w:rPr>
              <w:t>Verbleibende Unsicherheit</w:t>
            </w:r>
          </w:p>
        </w:tc>
        <w:tc>
          <w:tcPr>
            <w:tcW w:type="dxa" w:w="4536"/>
          </w:tcPr>
          <w:p>
            <w:r>
              <w:rPr>
                <w:rFonts w:ascii="Times New Roman" w:hAnsi="Times New Roman"/>
                <w:sz w:val="20"/>
              </w:rPr>
              <w:t>Keine belastbare Offenlegung der Gesellschafterstruktur von Blue Harbor Holdings Ltd.</w:t>
            </w:r>
          </w:p>
        </w:tc>
      </w:tr>
      <w:tr>
        <w:tc>
          <w:tcPr>
            <w:tcW w:type="dxa" w:w="4536"/>
          </w:tcPr>
          <w:p>
            <w:r>
              <w:rPr>
                <w:rFonts w:ascii="Times New Roman" w:hAnsi="Times New Roman"/>
                <w:b/>
                <w:sz w:val="20"/>
              </w:rPr>
              <w:t>Beschlossen durch</w:t>
            </w:r>
          </w:p>
        </w:tc>
        <w:tc>
          <w:tcPr>
            <w:tcW w:type="dxa" w:w="4536"/>
          </w:tcPr>
          <w:p>
            <w:r>
              <w:rPr>
                <w:rFonts w:ascii="Times New Roman" w:hAnsi="Times New Roman"/>
                <w:sz w:val="20"/>
              </w:rPr>
              <w:t>Thomas Eckhardt (GwB) — Vier-Augen-Dokumentation bisher fehlend</w:t>
            </w:r>
          </w:p>
        </w:tc>
      </w:tr>
      <w:tr>
        <w:tc>
          <w:tcPr>
            <w:tcW w:type="dxa" w:w="4536"/>
          </w:tcPr>
          <w:p>
            <w:r>
              <w:rPr>
                <w:rFonts w:ascii="Times New Roman" w:hAnsi="Times New Roman"/>
                <w:b/>
                <w:sz w:val="20"/>
              </w:rPr>
              <w:t>Konsequenz</w:t>
            </w:r>
          </w:p>
        </w:tc>
        <w:tc>
          <w:tcPr>
            <w:tcW w:type="dxa" w:w="4536"/>
          </w:tcPr>
          <w:p>
            <w:r>
              <w:rPr>
                <w:rFonts w:ascii="Times New Roman" w:hAnsi="Times New Roman"/>
                <w:sz w:val="20"/>
              </w:rPr>
              <w:t>Mangel: False-Positive-Freigabe nicht ordnungsgemäß dokumentiert (Interne Revision Finding F-1)</w:t>
            </w:r>
          </w:p>
        </w:tc>
      </w:tr>
    </w:tbl>
    <w:p>
      <w:pPr>
        <w:ind w:left="567"/>
      </w:pPr>
      <w:r>
        <w:rPr>
          <w:b/>
          <w:i/>
        </w:rPr>
        <w:t>Befund Audit:</w:t>
      </w:r>
      <w:r>
        <w:rPr>
          <w:i/>
        </w:rPr>
        <w:t xml:space="preserve"> Die Freigabe des Sanktionslisten-Treffers zu Blue Harbor Holdings Ltd. als False Positive wurde nicht ordnungsgemäß im Vier-Augen-Verfahren dokumentiert. Dies ist ein Verstoß gegen die internen Sicherungsmaßnahmen gem. § 6 GwG und wird im Audit-Memo (Akte 13_audit) aufgegriffen.</w:t>
      </w:r>
    </w:p>
    <w:p/>
    <w:p>
      <w:pPr>
        <w:pStyle w:val="Heading2"/>
      </w:pPr>
      <w:r>
        <w:rPr>
          <w:rFonts w:ascii="Times New Roman" w:hAnsi="Times New Roman"/>
        </w:rPr>
        <w:t>4. Treffer 3: Adriatic Commerce Ltd. (Drittzahler)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World-Check</w:t>
            </w:r>
          </w:p>
        </w:tc>
        <w:tc>
          <w:tcPr>
            <w:tcW w:type="dxa" w:w="4536"/>
          </w:tcPr>
          <w:p>
            <w:r>
              <w:rPr>
                <w:rFonts w:ascii="Times New Roman" w:hAnsi="Times New Roman"/>
                <w:sz w:val="20"/>
              </w:rPr>
              <w:t>Kein Treffer</w:t>
            </w:r>
          </w:p>
        </w:tc>
      </w:tr>
      <w:tr>
        <w:tc>
          <w:tcPr>
            <w:tcW w:type="dxa" w:w="4536"/>
          </w:tcPr>
          <w:p>
            <w:r>
              <w:rPr>
                <w:rFonts w:ascii="Times New Roman" w:hAnsi="Times New Roman"/>
                <w:sz w:val="20"/>
              </w:rPr>
              <w:t>EU-Sanktionsregister</w:t>
            </w:r>
          </w:p>
        </w:tc>
        <w:tc>
          <w:tcPr>
            <w:tcW w:type="dxa" w:w="4536"/>
          </w:tcPr>
          <w:p>
            <w:r>
              <w:rPr>
                <w:rFonts w:ascii="Times New Roman" w:hAnsi="Times New Roman"/>
                <w:sz w:val="20"/>
              </w:rPr>
              <w:t>Kein Treffer</w:t>
            </w:r>
          </w:p>
        </w:tc>
      </w:tr>
      <w:tr>
        <w:tc>
          <w:tcPr>
            <w:tcW w:type="dxa" w:w="4536"/>
          </w:tcPr>
          <w:p>
            <w:r>
              <w:rPr>
                <w:rFonts w:ascii="Times New Roman" w:hAnsi="Times New Roman"/>
                <w:sz w:val="20"/>
              </w:rPr>
              <w:t>OFAC SDN</w:t>
            </w:r>
          </w:p>
        </w:tc>
        <w:tc>
          <w:tcPr>
            <w:tcW w:type="dxa" w:w="4536"/>
          </w:tcPr>
          <w:p>
            <w:r>
              <w:rPr>
                <w:rFonts w:ascii="Times New Roman" w:hAnsi="Times New Roman"/>
                <w:sz w:val="20"/>
              </w:rPr>
              <w:t>Kein Treffer</w:t>
            </w:r>
          </w:p>
        </w:tc>
      </w:tr>
      <w:tr>
        <w:tc>
          <w:tcPr>
            <w:tcW w:type="dxa" w:w="4536"/>
          </w:tcPr>
          <w:p>
            <w:r>
              <w:rPr>
                <w:rFonts w:ascii="Times New Roman" w:hAnsi="Times New Roman"/>
                <w:sz w:val="20"/>
              </w:rPr>
              <w:t>UN-Sanktionsliste</w:t>
            </w:r>
          </w:p>
        </w:tc>
        <w:tc>
          <w:tcPr>
            <w:tcW w:type="dxa" w:w="4536"/>
          </w:tcPr>
          <w:p>
            <w:r>
              <w:rPr>
                <w:rFonts w:ascii="Times New Roman" w:hAnsi="Times New Roman"/>
                <w:sz w:val="20"/>
              </w:rPr>
              <w:t>Kein Treffer</w:t>
            </w:r>
          </w:p>
        </w:tc>
      </w:tr>
      <w:tr>
        <w:tc>
          <w:tcPr>
            <w:tcW w:type="dxa" w:w="4536"/>
          </w:tcPr>
          <w:p>
            <w:r>
              <w:rPr>
                <w:rFonts w:ascii="Times New Roman" w:hAnsi="Times New Roman"/>
                <w:sz w:val="20"/>
              </w:rPr>
              <w:t>BAFA-Liste</w:t>
            </w:r>
          </w:p>
        </w:tc>
        <w:tc>
          <w:tcPr>
            <w:tcW w:type="dxa" w:w="4536"/>
          </w:tcPr>
          <w:p>
            <w:r>
              <w:rPr>
                <w:rFonts w:ascii="Times New Roman" w:hAnsi="Times New Roman"/>
                <w:sz w:val="20"/>
              </w:rPr>
              <w:t>Kein Treffer</w:t>
            </w:r>
          </w:p>
        </w:tc>
      </w:tr>
      <w:tr>
        <w:tc>
          <w:tcPr>
            <w:tcW w:type="dxa" w:w="4536"/>
          </w:tcPr>
          <w:p>
            <w:r>
              <w:rPr>
                <w:rFonts w:ascii="Times New Roman" w:hAnsi="Times New Roman"/>
                <w:b/>
                <w:sz w:val="20"/>
              </w:rPr>
              <w:t>Ergebnis</w:t>
            </w:r>
          </w:p>
        </w:tc>
        <w:tc>
          <w:tcPr>
            <w:tcW w:type="dxa" w:w="4536"/>
          </w:tcPr>
          <w:p>
            <w:r>
              <w:rPr>
                <w:rFonts w:ascii="Times New Roman" w:hAnsi="Times New Roman"/>
                <w:sz w:val="20"/>
              </w:rPr>
              <w:t>Negativscreening; keine direkte Listung</w:t>
            </w:r>
          </w:p>
        </w:tc>
      </w:tr>
      <w:tr>
        <w:tc>
          <w:tcPr>
            <w:tcW w:type="dxa" w:w="4536"/>
          </w:tcPr>
          <w:p>
            <w:r>
              <w:rPr>
                <w:rFonts w:ascii="Times New Roman" w:hAnsi="Times New Roman"/>
                <w:b/>
                <w:sz w:val="20"/>
              </w:rPr>
              <w:t>Anmerkung</w:t>
            </w:r>
          </w:p>
        </w:tc>
        <w:tc>
          <w:tcPr>
            <w:tcW w:type="dxa" w:w="4536"/>
          </w:tcPr>
          <w:p>
            <w:r>
              <w:rPr>
                <w:rFonts w:ascii="Times New Roman" w:hAnsi="Times New Roman"/>
                <w:sz w:val="20"/>
              </w:rPr>
              <w:t>Adriatic Commerce Ltd. (Malta) ist dennoch Risikoindikator als unbenannter Drittzahler mit unklarem Verhältnis zu Danube Trade Solutions SRL</w:t>
            </w:r>
          </w:p>
        </w:tc>
      </w:tr>
    </w:tbl>
    <w:p/>
    <w:p>
      <w:pPr>
        <w:pStyle w:val="Heading2"/>
      </w:pPr>
      <w:r>
        <w:rPr>
          <w:rFonts w:ascii="Times New Roman" w:hAnsi="Times New Roman"/>
        </w:rPr>
        <w:t>5. Treffer 4: Panikos Stavridis (Nominee Director Blue Harbor)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World-Check</w:t>
            </w:r>
          </w:p>
        </w:tc>
        <w:tc>
          <w:tcPr>
            <w:tcW w:type="dxa" w:w="4536"/>
          </w:tcPr>
          <w:p>
            <w:r>
              <w:rPr>
                <w:rFonts w:ascii="Times New Roman" w:hAnsi="Times New Roman"/>
                <w:sz w:val="20"/>
              </w:rPr>
              <w:t>Kein Treffer</w:t>
            </w:r>
          </w:p>
        </w:tc>
      </w:tr>
      <w:tr>
        <w:tc>
          <w:tcPr>
            <w:tcW w:type="dxa" w:w="4536"/>
          </w:tcPr>
          <w:p>
            <w:r>
              <w:rPr>
                <w:rFonts w:ascii="Times New Roman" w:hAnsi="Times New Roman"/>
                <w:sz w:val="20"/>
              </w:rPr>
              <w:t>EU-Sanktionsregister</w:t>
            </w:r>
          </w:p>
        </w:tc>
        <w:tc>
          <w:tcPr>
            <w:tcW w:type="dxa" w:w="4536"/>
          </w:tcPr>
          <w:p>
            <w:r>
              <w:rPr>
                <w:rFonts w:ascii="Times New Roman" w:hAnsi="Times New Roman"/>
                <w:sz w:val="20"/>
              </w:rPr>
              <w:t>Kein Treffer</w:t>
            </w:r>
          </w:p>
        </w:tc>
      </w:tr>
      <w:tr>
        <w:tc>
          <w:tcPr>
            <w:tcW w:type="dxa" w:w="4536"/>
          </w:tcPr>
          <w:p>
            <w:r>
              <w:rPr>
                <w:rFonts w:ascii="Times New Roman" w:hAnsi="Times New Roman"/>
                <w:sz w:val="20"/>
              </w:rPr>
              <w:t>Sonstige Datenbanken</w:t>
            </w:r>
          </w:p>
        </w:tc>
        <w:tc>
          <w:tcPr>
            <w:tcW w:type="dxa" w:w="4536"/>
          </w:tcPr>
          <w:p>
            <w:r>
              <w:rPr>
                <w:rFonts w:ascii="Times New Roman" w:hAnsi="Times New Roman"/>
                <w:sz w:val="20"/>
              </w:rPr>
              <w:t>Kein Treffer</w:t>
            </w:r>
          </w:p>
        </w:tc>
      </w:tr>
      <w:tr>
        <w:tc>
          <w:tcPr>
            <w:tcW w:type="dxa" w:w="4536"/>
          </w:tcPr>
          <w:p>
            <w:r>
              <w:rPr>
                <w:rFonts w:ascii="Times New Roman" w:hAnsi="Times New Roman"/>
                <w:b/>
                <w:sz w:val="20"/>
              </w:rPr>
              <w:t>Ergebnis</w:t>
            </w:r>
          </w:p>
        </w:tc>
        <w:tc>
          <w:tcPr>
            <w:tcW w:type="dxa" w:w="4536"/>
          </w:tcPr>
          <w:p>
            <w:r>
              <w:rPr>
                <w:rFonts w:ascii="Times New Roman" w:hAnsi="Times New Roman"/>
                <w:sz w:val="20"/>
              </w:rPr>
              <w:t>Negativscreening</w:t>
            </w:r>
          </w:p>
        </w:tc>
      </w:tr>
      <w:tr>
        <w:tc>
          <w:tcPr>
            <w:tcW w:type="dxa" w:w="4536"/>
          </w:tcPr>
          <w:p>
            <w:r>
              <w:rPr>
                <w:rFonts w:ascii="Times New Roman" w:hAnsi="Times New Roman"/>
                <w:b/>
                <w:sz w:val="20"/>
              </w:rPr>
              <w:t>Anmerkung</w:t>
            </w:r>
          </w:p>
        </w:tc>
        <w:tc>
          <w:tcPr>
            <w:tcW w:type="dxa" w:w="4536"/>
          </w:tcPr>
          <w:p>
            <w:r>
              <w:rPr>
                <w:rFonts w:ascii="Times New Roman" w:hAnsi="Times New Roman"/>
                <w:sz w:val="20"/>
              </w:rPr>
              <w:t>Nominee-Director-Tätigkeit als solche ist kein Sanktionsindikator; strukturelles Risiko bleibt</w:t>
            </w:r>
          </w:p>
        </w:tc>
      </w:tr>
    </w:tbl>
    <w:p/>
    <w:p>
      <w:pPr>
        <w:pStyle w:val="Heading2"/>
      </w:pPr>
      <w:r>
        <w:rPr>
          <w:rFonts w:ascii="Times New Roman" w:hAnsi="Times New Roman"/>
        </w:rPr>
        <w:t>6. Zusammenfassung und Gesamtbewertung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Person / Einheit</w:t>
            </w:r>
          </w:p>
        </w:tc>
        <w:tc>
          <w:tcPr>
            <w:tcW w:type="dxa" w:w="2268"/>
          </w:tcPr>
          <w:p>
            <w:r>
              <w:rPr>
                <w:rFonts w:ascii="Times New Roman" w:hAnsi="Times New Roman"/>
                <w:b/>
                <w:sz w:val="20"/>
              </w:rPr>
              <w:t>PEP-Treffer</w:t>
            </w:r>
          </w:p>
        </w:tc>
        <w:tc>
          <w:tcPr>
            <w:tcW w:type="dxa" w:w="2268"/>
          </w:tcPr>
          <w:p>
            <w:r>
              <w:rPr>
                <w:rFonts w:ascii="Times New Roman" w:hAnsi="Times New Roman"/>
                <w:b/>
                <w:sz w:val="20"/>
              </w:rPr>
              <w:t>Sanktionstreffer</w:t>
            </w:r>
          </w:p>
        </w:tc>
        <w:tc>
          <w:tcPr>
            <w:tcW w:type="dxa" w:w="2268"/>
          </w:tcPr>
          <w:p>
            <w:r>
              <w:rPr>
                <w:rFonts w:ascii="Times New Roman" w:hAnsi="Times New Roman"/>
                <w:b/>
                <w:sz w:val="20"/>
              </w:rPr>
              <w:t>Bewertung</w:t>
            </w:r>
          </w:p>
        </w:tc>
      </w:tr>
      <w:tr>
        <w:tc>
          <w:tcPr>
            <w:tcW w:type="dxa" w:w="2268"/>
          </w:tcPr>
          <w:p>
            <w:r>
              <w:rPr>
                <w:rFonts w:ascii="Times New Roman" w:hAnsi="Times New Roman"/>
                <w:sz w:val="20"/>
              </w:rPr>
              <w:t>Andrei Moldovan</w:t>
            </w:r>
          </w:p>
        </w:tc>
        <w:tc>
          <w:tcPr>
            <w:tcW w:type="dxa" w:w="2268"/>
          </w:tcPr>
          <w:p>
            <w:r>
              <w:rPr>
                <w:rFonts w:ascii="Times New Roman" w:hAnsi="Times New Roman"/>
                <w:sz w:val="20"/>
              </w:rPr>
              <w:t>Wahrscheinlich False Positive</w:t>
            </w:r>
          </w:p>
        </w:tc>
        <w:tc>
          <w:tcPr>
            <w:tcW w:type="dxa" w:w="2268"/>
          </w:tcPr>
          <w:p>
            <w:r>
              <w:rPr>
                <w:rFonts w:ascii="Times New Roman" w:hAnsi="Times New Roman"/>
                <w:sz w:val="20"/>
              </w:rPr>
              <w:t>Nein</w:t>
            </w:r>
          </w:p>
        </w:tc>
        <w:tc>
          <w:tcPr>
            <w:tcW w:type="dxa" w:w="2268"/>
          </w:tcPr>
          <w:p>
            <w:r>
              <w:rPr>
                <w:rFonts w:ascii="Times New Roman" w:hAnsi="Times New Roman"/>
                <w:sz w:val="20"/>
              </w:rPr>
              <w:t>Hochrisiko wegen Unklarheit; als PEP behandeln</w:t>
            </w:r>
          </w:p>
        </w:tc>
      </w:tr>
      <w:tr>
        <w:tc>
          <w:tcPr>
            <w:tcW w:type="dxa" w:w="2268"/>
          </w:tcPr>
          <w:p>
            <w:r>
              <w:rPr>
                <w:rFonts w:ascii="Times New Roman" w:hAnsi="Times New Roman"/>
                <w:sz w:val="20"/>
              </w:rPr>
              <w:t>Blue Harbor Holdings Ltd.</w:t>
            </w:r>
          </w:p>
        </w:tc>
        <w:tc>
          <w:tcPr>
            <w:tcW w:type="dxa" w:w="2268"/>
          </w:tcPr>
          <w:p>
            <w:r>
              <w:rPr>
                <w:rFonts w:ascii="Times New Roman" w:hAnsi="Times New Roman"/>
                <w:sz w:val="20"/>
              </w:rPr>
              <w:t>Nein</w:t>
            </w:r>
          </w:p>
        </w:tc>
        <w:tc>
          <w:tcPr>
            <w:tcW w:type="dxa" w:w="2268"/>
          </w:tcPr>
          <w:p>
            <w:r>
              <w:rPr>
                <w:rFonts w:ascii="Times New Roman" w:hAnsi="Times New Roman"/>
                <w:sz w:val="20"/>
              </w:rPr>
              <w:t>Wahrscheinlich False Positive</w:t>
            </w:r>
          </w:p>
        </w:tc>
        <w:tc>
          <w:tcPr>
            <w:tcW w:type="dxa" w:w="2268"/>
          </w:tcPr>
          <w:p>
            <w:r>
              <w:rPr>
                <w:rFonts w:ascii="Times New Roman" w:hAnsi="Times New Roman"/>
                <w:sz w:val="20"/>
              </w:rPr>
              <w:t>Mangel: keine Vier-Augen-Dokumentation; Hochrisiko wegen Offshore-Struktur</w:t>
            </w:r>
          </w:p>
        </w:tc>
      </w:tr>
      <w:tr>
        <w:tc>
          <w:tcPr>
            <w:tcW w:type="dxa" w:w="2268"/>
          </w:tcPr>
          <w:p>
            <w:r>
              <w:rPr>
                <w:rFonts w:ascii="Times New Roman" w:hAnsi="Times New Roman"/>
                <w:sz w:val="20"/>
              </w:rPr>
              <w:t>Adriatic Commerce Ltd.</w:t>
            </w:r>
          </w:p>
        </w:tc>
        <w:tc>
          <w:tcPr>
            <w:tcW w:type="dxa" w:w="2268"/>
          </w:tcPr>
          <w:p>
            <w:r>
              <w:rPr>
                <w:rFonts w:ascii="Times New Roman" w:hAnsi="Times New Roman"/>
                <w:sz w:val="20"/>
              </w:rPr>
              <w:t>Nein</w:t>
            </w:r>
          </w:p>
        </w:tc>
        <w:tc>
          <w:tcPr>
            <w:tcW w:type="dxa" w:w="2268"/>
          </w:tcPr>
          <w:p>
            <w:r>
              <w:rPr>
                <w:rFonts w:ascii="Times New Roman" w:hAnsi="Times New Roman"/>
                <w:sz w:val="20"/>
              </w:rPr>
              <w:t>Nein</w:t>
            </w:r>
          </w:p>
        </w:tc>
        <w:tc>
          <w:tcPr>
            <w:tcW w:type="dxa" w:w="2268"/>
          </w:tcPr>
          <w:p>
            <w:r>
              <w:rPr>
                <w:rFonts w:ascii="Times New Roman" w:hAnsi="Times New Roman"/>
                <w:sz w:val="20"/>
              </w:rPr>
              <w:t>Negativscreening; Risikoindikator als Drittzahler</w:t>
            </w:r>
          </w:p>
        </w:tc>
      </w:tr>
      <w:tr>
        <w:tc>
          <w:tcPr>
            <w:tcW w:type="dxa" w:w="2268"/>
          </w:tcPr>
          <w:p>
            <w:r>
              <w:rPr>
                <w:rFonts w:ascii="Times New Roman" w:hAnsi="Times New Roman"/>
                <w:sz w:val="20"/>
              </w:rPr>
              <w:t>Panikos Stavridis</w:t>
            </w:r>
          </w:p>
        </w:tc>
        <w:tc>
          <w:tcPr>
            <w:tcW w:type="dxa" w:w="2268"/>
          </w:tcPr>
          <w:p>
            <w:r>
              <w:rPr>
                <w:rFonts w:ascii="Times New Roman" w:hAnsi="Times New Roman"/>
                <w:sz w:val="20"/>
              </w:rPr>
              <w:t>Nein</w:t>
            </w:r>
          </w:p>
        </w:tc>
        <w:tc>
          <w:tcPr>
            <w:tcW w:type="dxa" w:w="2268"/>
          </w:tcPr>
          <w:p>
            <w:r>
              <w:rPr>
                <w:rFonts w:ascii="Times New Roman" w:hAnsi="Times New Roman"/>
                <w:sz w:val="20"/>
              </w:rPr>
              <w:t>Nein</w:t>
            </w:r>
          </w:p>
        </w:tc>
        <w:tc>
          <w:tcPr>
            <w:tcW w:type="dxa" w:w="2268"/>
          </w:tcPr>
          <w:p>
            <w:r>
              <w:rPr>
                <w:rFonts w:ascii="Times New Roman" w:hAnsi="Times New Roman"/>
                <w:sz w:val="20"/>
              </w:rPr>
              <w:t>Negativscreening</w:t>
            </w:r>
          </w:p>
        </w:tc>
      </w:tr>
    </w:tbl>
    <w:p>
      <w:pPr>
        <w:jc w:val="left"/>
      </w:pPr>
      <w:r>
        <w:rPr>
          <w:b/>
        </w:rPr>
        <w:t>Gesamtbewertung Screening:</w:t>
      </w:r>
      <w:r>
        <w:t xml:space="preserve"> Kein gesicherter Sanktionsverstoß; erhebliche Restrisiken und Dokumentationsmängel. Die Kumulierung von ungeklärtem PEP-Status, Offshore-UBO und Drittzahlung rechtfertigt eine Verdachtsmeldung an die FIU.</w:t>
      </w:r>
    </w:p>
    <w:p/>
    <w:p>
      <w:pPr>
        <w:jc w:val="left"/>
      </w:pPr>
      <w:r>
        <w:rPr>
          <w:i/>
        </w:rPr>
        <w:t>Dokument-Nr.: SCREEN-MH-2026-0028 — Musterholding GmbH / Geldwäschebeauftragter</w:t>
      </w:r>
    </w:p>
    <w:p>
      <w:pPr>
        <w:jc w:val="left"/>
      </w:pPr>
      <w:r>
        <w:rPr>
          <w:i/>
        </w:rPr>
        <w:t>Aufbewahrungsfrist: 5 Jahre (§ 8 Abs. 4 GwG)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