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Gesellschaftsvertragsanalyse: Squeeze-out-Klausel und Abfindungsregelung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18.04.2026</w:t>
      </w:r>
    </w:p>
    <w:p>
      <w:pPr>
        <w:jc w:val="left"/>
      </w:pPr>
      <w:r>
        <w:rPr>
          <w:b/>
        </w:rPr>
        <w:t>Bearbeiter:</w:t>
      </w:r>
      <w:r>
        <w:t xml:space="preserve"> Prof. Dr. Wieland Drosselberg</w:t>
      </w:r>
    </w:p>
    <w:p/>
    <w:p>
      <w:pPr>
        <w:pStyle w:val="Heading2"/>
      </w:pPr>
      <w:r>
        <w:rPr>
          <w:rFonts w:ascii="Times New Roman" w:hAnsi="Times New Roman"/>
        </w:rPr>
        <w:t>1. Übersicht relevanter GV-Klauseln</w:t>
      </w:r>
    </w:p>
    <w:p>
      <w:pPr>
        <w:jc w:val="left"/>
      </w:pPr>
      <w:r>
        <w:t>Der Gesellschaftsvertrag der Küchenkönig Manufaktur GmbH &amp; Co. KG vom 14. März 1987 (zuletzt geändert durch Gesellschafterbeschluss vom 22. November 2019) enthält folgende für den Squeeze-out-Streit maßgebliche Regelungen:</w:t>
      </w:r>
    </w:p>
    <w:p>
      <w:pPr>
        <w:pStyle w:val="Heading3"/>
      </w:pPr>
      <w:r>
        <w:rPr>
          <w:rFonts w:ascii="Times New Roman" w:hAnsi="Times New Roman"/>
        </w:rPr>
        <w:t>§ 7 — Stimmrecht</w:t>
      </w:r>
    </w:p>
    <w:p>
      <w:pPr>
        <w:ind w:left="567"/>
      </w:pPr>
      <w:r>
        <w:rPr>
          <w:i/>
        </w:rPr>
        <w:t>„Jeder Gesellschafter hat je 1.000 EUR seines Kapitalanteils (einschließlich der Komplementär-GmbH, deren Stimmgewicht als 260.000 EUR fingiert wird) eine Stimme. Beschlüsse werden mit einfacher Mehrheit der abgegebenen Stimmen gefasst, soweit dieser Vertrag nicht ausdrücklich eine qualifizierte Mehrheit vorsieht."</w:t>
      </w:r>
    </w:p>
    <w:p>
      <w:pPr>
        <w:jc w:val="left"/>
      </w:pPr>
      <w:r>
        <w:rPr>
          <w:b/>
        </w:rPr>
        <w:t>Analyse:</w:t>
      </w:r>
      <w:r>
        <w:t xml:space="preserve"> Die Stimmgewichtung führt dazu, dass die Wittmann Holding mit 30 % Kapitalanteil allein keine einfache Mehrheit erzielen kann. Sie benötigt mindestens einen weiteren Gesellschafter. Dennoch hat Dr. Werthebach in der GV am 14.04.2026 den Squeeze-out-Beschluss mit alleiniger Stimme der Wittmann Holding (300 Stimmen) gegen die vereinigten 700 Stimmen der Familie Geisen gefasst — und dabei § 9 GV als Grundlage benannt.</w:t>
      </w:r>
    </w:p>
    <w:p>
      <w:pPr>
        <w:pStyle w:val="Heading3"/>
      </w:pPr>
      <w:r>
        <w:rPr>
          <w:rFonts w:ascii="Times New Roman" w:hAnsi="Times New Roman"/>
        </w:rPr>
        <w:t>§ 9 — Ausschluss eines Gesellschafters</w:t>
      </w:r>
    </w:p>
    <w:p>
      <w:pPr>
        <w:ind w:left="567"/>
      </w:pPr>
      <w:r>
        <w:rPr>
          <w:i/>
        </w:rPr>
        <w:t>„Abs. 1: Ein Gesellschafter kann aus wichtigem Grund durch Beschluss der übrigen Gesellschafter aus der Gesellschaft ausgeschlossen werden. Abs. 2: Als wichtiger Grund gilt insbesondere die schwerwiegende Pflichtverletzung. Abs. 3: Die Abfindung des ausgeschlossenen Gesellschafters richtet sich nach dem Buchwert des Kapitalanteils laut letzter festgestellter Jahresbilanz."</w:t>
      </w:r>
    </w:p>
    <w:p>
      <w:pPr>
        <w:jc w:val="left"/>
      </w:pPr>
      <w:r>
        <w:rPr>
          <w:b/>
        </w:rPr>
        <w:t>Analyse:</w:t>
      </w:r>
      <w:r>
        <w:t xml:space="preserve"> § 9 Abs. 1 setzt einen „wichtigen Grund" voraus. Die Wittmann Holding behauptet, das Ergebnis der GV-Abstimmung vom 22.09.2024 (Verweigerung der nachträglichen Genehmigung der Polska-Investition) durch die Familienmehrheit stelle eine Blockadehaltung und damit einen wichtigen Grund dar. Dies ist rechtlich unhaltbar: Das Abstimmen gemäß eigenem Interesse in einer GV kann keinen wichtigen Grund für einen Ausschluss bilden (vgl. BGH, Urt. v. 01.04.1953, II ZR 235/52; OLG Hamm, Urt. v. 22.05.2013, 8 U 180/12). Der Beschluss leidet daher an einem Nichtigkeitsgrund (§ 241 Nr. 3 AktG analog) und ist zugleich anfechtbar.</w:t>
      </w:r>
    </w:p>
    <w:p>
      <w:pPr>
        <w:pStyle w:val="Heading3"/>
      </w:pPr>
      <w:r>
        <w:rPr>
          <w:rFonts w:ascii="Times New Roman" w:hAnsi="Times New Roman"/>
        </w:rPr>
        <w:t>§ 14 — Wettbewerbsverbot</w:t>
      </w:r>
    </w:p>
    <w:p>
      <w:pPr>
        <w:ind w:left="567"/>
      </w:pPr>
      <w:r>
        <w:rPr>
          <w:i/>
        </w:rPr>
        <w:t>„Abs. 1: Während der Mitgliedschaft ist jedem Gesellschafter jede Tätigkeit in einem mit dem Gesellschaftszweck konkurrierenden Unternehmen verboten. Abs. 2: Nach dem Ausscheiden gilt das Verbot für die Dauer von zwei Jahren ab Wirksamkeit des Ausscheidens, beschränkt auf einen Umkreis von 150 km um den Sitz der Gesellschaft (Paderborn). Abs. 3: Bei Verstoß ist eine Vertragsstrafe von 50.000 EUR je Einzelfall verwirkt."</w:t>
      </w:r>
    </w:p>
    <w:p>
      <w:pPr>
        <w:jc w:val="left"/>
      </w:pPr>
      <w:r>
        <w:rPr>
          <w:b/>
        </w:rPr>
        <w:t>Analyse zu § 14:</w:t>
      </w:r>
      <w:r>
        <w:t xml:space="preserve"> Die nachvertragliche Wettbewerbsklausel ist an den Voraussetzungen des § 161 HGB analog zu messen (Rechtsprechungsanalyse Aktenstück 12). Die Beschränkung auf 2 Jahre und 150 km Radius wird als sachlich vertretbar angesehen, sofern ein angemessener Ausgleich (Karenzentschädigung) vereinbart ist. § 14 GV enthält jedoch keine Karenzentschädigung. Nach der Rechtsprechung des BGH (Urt. v. 29.09.2003, II ZR 59/02) ist eine nachvertragliche Wettbewerbsklausel ohne Karenzentschädigung in Personengesellschaftsverträgen regelmäßig unwirksam, wenn sie den betreffenden Gesellschafter unangemessen in seiner Berufsausübung beschränkt (Art. 12 Abs. 1 GG). Da Stefan Geisen als Schreinermeister auf die Tätigkeit in der Holzbranche angewiesen ist, wird die Klausel voraussichtlich einer Inhaltskontrolle nicht standhalten.</w:t>
      </w:r>
    </w:p>
    <w:p/>
    <w:p>
      <w:pPr>
        <w:pStyle w:val="Heading2"/>
      </w:pPr>
      <w:r>
        <w:rPr>
          <w:rFonts w:ascii="Times New Roman" w:hAnsi="Times New Roman"/>
        </w:rPr>
        <w:t>2. Squeeze-out-Fähigkeit der GmbH &amp; Co. KG</w:t>
      </w:r>
    </w:p>
    <w:p>
      <w:pPr>
        <w:jc w:val="left"/>
      </w:pPr>
      <w:r>
        <w:t>Anders als im Aktienrecht (§§ 327a ff. AktG) gibt es im Recht der GmbH &amp; Co. KG keinen gesetzlich normierten Squeeze-out. Die Rechtsprechung und Lehre erkennen einen gesellschaftsvertraglichen Ausschluss gegen Abfindung zwar grundsätzlich an (sog. Hinausdrängungs- oder Squeeze-out-Klauseln), stellen dabei aber strenge Anforderungen:</w:t>
      </w:r>
    </w:p>
    <w:p>
      <w:pPr>
        <w:pStyle w:val="ListNumber"/>
      </w:pPr>
      <w:r>
        <w:rPr>
          <w:b/>
        </w:rPr>
        <w:t>Inhaltliche Rechtmäßigkeit:</w:t>
      </w:r>
      <w:r>
        <w:t xml:space="preserve"> Die Klausel muss auf einem sachlichen Grund beruhen; eine reine Mehrheitskonditionierung ohne sachlichen Grund verstößt gegen den gesellschaftsrechtlichen Gleichbehandlungsgrundsatz (vgl. BGH, Urt. v. 19.10.2009, II ZR 240/08 — „Rheuma-Kolloq").</w:t>
      </w:r>
    </w:p>
    <w:p>
      <w:pPr>
        <w:pStyle w:val="ListNumber"/>
      </w:pPr>
      <w:r>
        <w:rPr>
          <w:b/>
        </w:rPr>
        <w:t>Angemessene Abfindung:</w:t>
      </w:r>
      <w:r>
        <w:t xml:space="preserve"> Die Buchwertabfindung als alleiniger Maßstab ist bei erheblicher Divergenz zum Verkehrswert unzulässig (BGH, Urt. v. 24.09.1984, II ZR 256/83 — „Buchwertklausel I"; BGH, Urt. v. 20.09.1993, II ZR 104/92 — „Buchwertklausel II"). Bei einer Diskrepanz von 3,4 Mio. EUR (Buchwert) zu 9,8 Mio. EUR (Ertragswert) — Faktor 2,88 — ist die Buchwertklausel mit hoher Wahrscheinlichkeit sittenwidrig (§ 138 BGB) und damit nichtig.</w:t>
      </w:r>
    </w:p>
    <w:p>
      <w:pPr>
        <w:pStyle w:val="ListNumber"/>
      </w:pPr>
      <w:r>
        <w:rPr>
          <w:b/>
        </w:rPr>
        <w:t>Beschlussmehrheit:</w:t>
      </w:r>
      <w:r>
        <w:t xml:space="preserve"> § 9 Abs. 1 GV setzt einen Beschluss der „übrigen Gesellschafter" voraus. Dass die Wittmann Holding als Minderheitsgesellschafterin (30 %) die Mehrheit der Familienmitglieder (70 %) ausschließen kann, ist von § 9 Abs. 1 nicht gedeckt. Die Formulierung „Beschluss der übrigen Gesellschafter" setzt voraus, dass alle nicht betroffenen Gesellschafter — d.h. alle außer dem Auszuschließenden — zustimmen. Dies kann schon logisch nicht mit einer 30 %-Minderheit erfüllt werden, wenn der Auszuschließende 70 % hält.</w:t>
      </w:r>
    </w:p>
    <w:p/>
    <w:p>
      <w:pPr>
        <w:pStyle w:val="Heading2"/>
      </w:pPr>
      <w:r>
        <w:rPr>
          <w:rFonts w:ascii="Times New Roman" w:hAnsi="Times New Roman"/>
        </w:rPr>
        <w:t>3. Zwischenergebnis zur Beschlusskontrolle</w:t>
      </w:r>
    </w:p>
    <w:p>
      <w:pPr>
        <w:jc w:val="left"/>
      </w:pPr>
      <w:r>
        <w:t>Der Squeeze-out-Beschluss vom 14.04.2026 ist:</w:t>
      </w:r>
    </w:p>
    <w:p>
      <w:pPr>
        <w:pStyle w:val="ListBullet"/>
      </w:pPr>
      <w:r>
        <w:rPr>
          <w:b/>
        </w:rPr>
        <w:t>Nichtig</w:t>
      </w:r>
      <w:r>
        <w:t xml:space="preserve"> (§ 241 Nr. 3 AktG analog), weil die Wittmann Holding als 30 %-Gesellschafterin formal keine ausreichende Mehrheit nach § 7 GV hat und der Beschluss damit ohne Ermächtigungsgrundlage gefasst wurde</w:t>
      </w:r>
    </w:p>
    <w:p>
      <w:pPr>
        <w:pStyle w:val="ListBullet"/>
      </w:pPr>
      <w:r>
        <w:rPr>
          <w:b/>
        </w:rPr>
        <w:t>Anfechtbar</w:t>
      </w:r>
      <w:r>
        <w:t xml:space="preserve"> (§ 246 AktG analog), weil kein wichtiger Grund für den Ausschluss vorliegt und die vorgesehene Buchwertabfindung sittenwidrig ist</w:t>
      </w:r>
    </w:p>
    <w:p>
      <w:pPr>
        <w:pStyle w:val="ListBullet"/>
      </w:pPr>
      <w:r>
        <w:rPr>
          <w:b/>
        </w:rPr>
        <w:t>Materiell rechtswidrig</w:t>
      </w:r>
      <w:r>
        <w:t xml:space="preserve"> wegen Verstoß gegen § 138 BGB (Buchwertklausel) und das verfassungsrechtlich geschützte Eigentumsrecht der ausscheidenden Gesellschafter (Art. 14 GG)</w:t>
      </w:r>
    </w:p>
    <w:p>
      <w:pPr>
        <w:jc w:val="left"/>
      </w:pPr>
      <w:r>
        <w:t>Die Anfechtungsklage ist beim LG Bielefeld binnen eines Monats ab der Beschlussfassung (§ 246 Abs. 1 AktG analog) zu erheben, also bis spätestens 14.05.2026. Tatsächlich hat die Kanzlei DWSP die Klage bereits am 29.04.2026 eingereicht.</w:t>
      </w:r>
    </w:p>
    <w:p/>
    <w:p>
      <w:pPr>
        <w:pStyle w:val="Heading2"/>
      </w:pPr>
      <w:r>
        <w:rPr>
          <w:rFonts w:ascii="Times New Roman" w:hAnsi="Times New Roman"/>
        </w:rPr>
        <w:t>4. Bewertungsrechtlicher Exkurs: § 9 Abs. 3 GV</w:t>
      </w:r>
    </w:p>
    <w:p>
      <w:pPr>
        <w:jc w:val="left"/>
      </w:pPr>
      <w:r>
        <w:t>Die Buchwertklausel in § 9 Abs. 3 GV knüpft an den „Buchwert des Kapitalanteils laut letzter festgestellter Jahresbilanz" an. Hierzu folgende Kritikpunkte:</w:t>
      </w:r>
    </w:p>
    <w:p>
      <w:pPr>
        <w:pStyle w:val="ListBullet"/>
      </w:pPr>
      <w:r>
        <w:t>Die Bilanz 2025 ist noch nicht festgestellt (Deadline: 30.06.2026 gemäß § 264 Abs. 1 HGB, da KG nicht kapitalmarktorientiert); Wittmann Holding hat auf die vorläufige Bilanz abgestellt — rechtswidrig</w:t>
      </w:r>
    </w:p>
    <w:p>
      <w:pPr>
        <w:pStyle w:val="ListBullet"/>
      </w:pPr>
      <w:r>
        <w:t>Der Buchwert reflektiert historische Anschaffungskosten, stille Reserven (Maschinenpark, Grundstücke, Kundenstamm) und immaterielle Werte (Marke „Küchenkönig", 30 Jahre Kundenbindung) bleiben völlig unberücksichtigt</w:t>
      </w:r>
    </w:p>
    <w:p>
      <w:pPr>
        <w:pStyle w:val="ListBullet"/>
      </w:pPr>
      <w:r>
        <w:t>Ertragswert IDW S 1 beträgt das 2,88-Fache des Buchwertes — klares Indiz für sittenwidrige Unterschreitung des Verkehrswertes</w:t>
      </w:r>
    </w:p>
    <w:p/>
    <w:p>
      <w:pPr>
        <w:jc w:val="left"/>
      </w:pPr>
      <w:r>
        <w:rPr>
          <w:i/>
        </w:rPr>
        <w:t>Erstellt: 18.04.2026 — Prof. Dr. Wieland Drosselberg</w:t>
      </w:r>
    </w:p>
    <w:p>
      <w:pPr>
        <w:jc w:val="left"/>
      </w:pPr>
      <w:r>
        <w:rPr>
          <w:i/>
        </w:rPr>
        <w:t>Referenz: dejure.org/gesetze/HGB/161.html; dejure.org/gesetze/BGB/138.html; BGH II ZR 240/08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