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04 — Auswertung Gesellschafterversammlung 14.04.2026</w:t>
      </w:r>
    </w:p>
    <w:p>
      <w:pPr>
        <w:jc w:val="left"/>
      </w:pPr>
      <w:r>
        <w:rPr>
          <w:b/>
        </w:rPr>
        <w:t>Akte:</w:t>
      </w:r>
      <w:r>
        <w:t xml:space="preserve"> DWSP/2026/GR-4417</w:t>
      </w:r>
    </w:p>
    <w:p>
      <w:pPr>
        <w:jc w:val="left"/>
      </w:pPr>
      <w:r>
        <w:rPr>
          <w:b/>
        </w:rPr>
        <w:t>Erstellt:</w:t>
      </w:r>
      <w:r>
        <w:t xml:space="preserve"> 19.04.2026</w:t>
      </w:r>
    </w:p>
    <w:p>
      <w:pPr>
        <w:jc w:val="left"/>
      </w:pPr>
      <w:r>
        <w:rPr>
          <w:b/>
        </w:rPr>
        <w:t>Bearbeiter:</w:t>
      </w:r>
      <w:r>
        <w:t xml:space="preserve"> Prof. Dr. Wieland Drosselberg / Ass. iur. Miriam Sandtenbruch</w:t>
      </w:r>
    </w:p>
    <w:p/>
    <w:p>
      <w:pPr>
        <w:pStyle w:val="Heading2"/>
      </w:pPr>
      <w:r>
        <w:rPr>
          <w:rFonts w:ascii="Times New Roman" w:hAnsi="Times New Roman"/>
        </w:rPr>
        <w:t>1. Verfahrensdaten der Gesellschafterversammlung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Details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 April 2026, 10:00–13:45 Uhr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Konferenzraum „Eiche", Hotel Mövenpick, Paderborn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Einberufung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Wittmann Family Holding KG per Einschreiben/Rückschein vom 28.03.2026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Einberufungsfrist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 Tage (ab Zugang 29.03.2026 bis Versammlung 14.04.2026)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Anwesend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Helmut Werthebach (Wittmann), Heinrich-Eberhard Geisen, Cornelia Geisen-Wetterhof, Stefan Geisen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Protokollführer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Notar Dr. Bertram Kleinschmidt, Paderborn (auf Antrag Wittmann Holding)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Protokoll-Nr.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UR 441/2026 Notariat Kleinschmidt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Tagesordnung und Abstimmungsergebnisse</w:t>
      </w:r>
    </w:p>
    <w:p>
      <w:pPr>
        <w:pStyle w:val="Heading3"/>
      </w:pPr>
      <w:r>
        <w:rPr>
          <w:rFonts w:ascii="Times New Roman" w:hAnsi="Times New Roman"/>
        </w:rPr>
        <w:t>TOP 1: Genehmigung Jahresabschluss 2024</w:t>
      </w:r>
    </w:p>
    <w:p>
      <w:pPr>
        <w:pStyle w:val="ListBullet"/>
      </w:pPr>
      <w:r>
        <w:t>Jahresabschluss 2024 (ungeprüft, da nicht prüfungspflichtig) vorgelegt</w:t>
      </w:r>
    </w:p>
    <w:p>
      <w:pPr>
        <w:pStyle w:val="ListBullet"/>
      </w:pPr>
      <w:r>
        <w:rPr>
          <w:b/>
        </w:rPr>
        <w:t>Abstimmung:</w:t>
      </w:r>
      <w:r>
        <w:t xml:space="preserve"> Alle vier stimmberechtigte Gesellschafter anwesend; Jahresabschluss 2024 </w:t>
      </w:r>
      <w:r>
        <w:rPr>
          <w:b/>
        </w:rPr>
        <w:t>einstimmig genehmigt</w:t>
      </w:r>
      <w:r>
        <w:t xml:space="preserve"> (Protokoll § 46 Nr. 1 GmbHG analog)</w:t>
      </w:r>
    </w:p>
    <w:p>
      <w:pPr>
        <w:pStyle w:val="ListBullet"/>
      </w:pPr>
      <w:r>
        <w:rPr>
          <w:b/>
        </w:rPr>
        <w:t>Anmerkung Mandanten:</w:t>
      </w:r>
      <w:r>
        <w:t xml:space="preserve"> Heinrich-Eberhard Geisen hat darauf hingewiesen, dass die Polska-Verluste im Jahresabschluss 2024 noch nicht vollständig enthalten sind (Restabschreibung 2026)</w:t>
      </w:r>
    </w:p>
    <w:p>
      <w:pPr>
        <w:pStyle w:val="Heading3"/>
      </w:pPr>
      <w:r>
        <w:rPr>
          <w:rFonts w:ascii="Times New Roman" w:hAnsi="Times New Roman"/>
        </w:rPr>
        <w:t>TOP 2: Ausschluss der Familien-Kommanditisten (Squeeze-out)</w:t>
      </w:r>
    </w:p>
    <w:p>
      <w:pPr>
        <w:jc w:val="left"/>
      </w:pPr>
      <w:r>
        <w:rPr>
          <w:b/>
        </w:rPr>
        <w:t>Antragstellung Dr. Werthebach:</w:t>
      </w:r>
    </w:p>
    <w:p>
      <w:pPr>
        <w:ind w:left="567"/>
      </w:pPr>
      <w:r>
        <w:rPr>
          <w:i/>
        </w:rPr>
        <w:t>„Die Wittmann Family Holding KG beantragt gemäß § 9 des Gesellschaftsvertrages den Ausschluss der Kommanditistinnen Cornelia Geisen-Wetterhof und Stefan Geisen sowie der Komplementär-GmbH (vertreten durch GF Heinrich-Eberhard Geisen) aus der Gesellschaft gegen Abfindung zum Buchwert gemäß letzter Jahresbilanz (2024). Begründung: Die Familienmehrheit hat durch ihre Abstimmungspolitik die Weiterentwicklung der Gesellschaft blockiert."</w:t>
      </w:r>
    </w:p>
    <w:p>
      <w:pPr>
        <w:jc w:val="left"/>
      </w:pPr>
      <w:r>
        <w:rPr>
          <w:b/>
        </w:rPr>
        <w:t>Abstimmungsergebnis: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Gesellschafter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Stimmen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Votum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Wittmann Family Holding KG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Komplementär-GmbH (H.-E. Geisen)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Cornelia Geisen-Wetterhof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Stefan Geisen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300 Ja / 700 Nein</w:t>
            </w:r>
          </w:p>
        </w:tc>
      </w:tr>
    </w:tbl>
    <w:p>
      <w:pPr>
        <w:jc w:val="left"/>
      </w:pPr>
      <w:r>
        <w:t>Dr. Werthebach erklärte nach Auszählung der Stimmen: „Der Beschluss ist mit der satzungsmäßigen Mehrheit nach § 9 GV angenommen worden." Diese Aussage ist rechtlich falsch: 300 zu 700 Stimmen ergibt keine Mehrheit. Dr. Werthebach berief sich darauf, dass nach seiner Auslegung von § 9 GV die Stimmen des/der Auszuschließenden nicht mitzählen. Diese Auslegung wurde von den Gegenseite umgehend widersprochen.</w:t>
      </w:r>
    </w:p>
    <w:p>
      <w:pPr>
        <w:pStyle w:val="Heading3"/>
      </w:pPr>
      <w:r>
        <w:rPr>
          <w:rFonts w:ascii="Times New Roman" w:hAnsi="Times New Roman"/>
        </w:rPr>
        <w:t>TOP 3: Entlastung des Geschäftsführers für 2024</w:t>
      </w:r>
    </w:p>
    <w:p>
      <w:pPr>
        <w:jc w:val="left"/>
      </w:pPr>
      <w:r>
        <w:rPr>
          <w:b/>
        </w:rPr>
        <w:t>Abstimmungsergebnis: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Gesellschafter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Stimmen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Votum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Wittmann Family Holding KG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Komplementär-GmbH (H.-E. Geisen)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Enthaltung (Stimmverbot analog § 47 Abs. 4 GmbHG)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Cornelia Geisen-Wetterhof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Stefan Geisen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 (ohne Enthaltung)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740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300 Ja / 440 Nein</w:t>
            </w:r>
          </w:p>
        </w:tc>
      </w:tr>
    </w:tbl>
    <w:p>
      <w:pPr>
        <w:jc w:val="left"/>
      </w:pPr>
      <w:r>
        <w:t xml:space="preserve">Entlastung </w:t>
      </w:r>
      <w:r>
        <w:rPr>
          <w:b/>
        </w:rPr>
        <w:t>abgelehnt</w:t>
      </w:r>
      <w:r>
        <w:t>. Damit wurde der Weg für eine Haftungsklage gegen Heinrich-Eberhard Geisen gemäß § 43 GmbHG grundsätzlich freigemacht.</w:t>
      </w:r>
    </w:p>
    <w:p/>
    <w:p>
      <w:pPr>
        <w:pStyle w:val="Heading2"/>
      </w:pPr>
      <w:r>
        <w:rPr>
          <w:rFonts w:ascii="Times New Roman" w:hAnsi="Times New Roman"/>
        </w:rPr>
        <w:t>3. Verfahrensmängel der Gesellschafterversammlung</w:t>
      </w:r>
    </w:p>
    <w:p>
      <w:pPr>
        <w:pStyle w:val="Heading3"/>
      </w:pPr>
      <w:r>
        <w:rPr>
          <w:rFonts w:ascii="Times New Roman" w:hAnsi="Times New Roman"/>
        </w:rPr>
        <w:t>3.1 Formale Mängel bei der Einberufung</w:t>
      </w:r>
    </w:p>
    <w:p>
      <w:pPr>
        <w:jc w:val="left"/>
      </w:pPr>
      <w:r>
        <w:rPr>
          <w:b/>
        </w:rPr>
        <w:t>a) Einberufungsbefugnis:</w:t>
      </w:r>
      <w:r>
        <w:t xml:space="preserve"> Nach § 51 Abs. 1 GmbHG (analog für GmbH &amp; Co. KG) ist die Einberufung einer außerordentlichen GV Sache des Geschäftsführers der Komplementär-GmbH. Die Einberufung durch einen Kommanditisten (Wittmann Holding) ist nur zulässig, wenn:</w:t>
      </w:r>
    </w:p>
    <w:p>
      <w:pPr>
        <w:pStyle w:val="ListBullet"/>
      </w:pPr>
      <w:r>
        <w:t>der Geschäftsführer zur Einberufung aufgefordert wurde und dieser Aufforderung nicht innerhalb von 4 Wochen nachgekommen ist, oder</w:t>
      </w:r>
    </w:p>
    <w:p>
      <w:pPr>
        <w:pStyle w:val="ListBullet"/>
      </w:pPr>
      <w:r>
        <w:t>der Gesellschaftsvertrag dem Kommanditisten ausdrücklich ein Einberufungsrecht einräumt.</w:t>
      </w:r>
    </w:p>
    <w:p>
      <w:pPr>
        <w:jc w:val="left"/>
      </w:pPr>
      <w:r>
        <w:t>Im vorliegenden GV (§ 6) ist das Einberufungsrecht ausschließlich dem GF der Komplementär-GmbH zugewiesen. Die Wittmann Holding hat keine Aufforderung zur Einberufung ausgesprochen; sie hat vielmehr selbst einberufen — ein formeller Einberufungsmangel.</w:t>
      </w:r>
    </w:p>
    <w:p>
      <w:pPr>
        <w:jc w:val="left"/>
      </w:pPr>
      <w:r>
        <w:rPr>
          <w:b/>
        </w:rPr>
        <w:t>b) Tagesordnung:</w:t>
      </w:r>
      <w:r>
        <w:t xml:space="preserve"> Der Zusatz „Ausschluss der Komplementär-GmbH" war nicht explizit in der Einladung angekündigt (Einladung sprach nur von „Familien-Kommanditisten"). Insoweit liegt ein Tagesordnungsmangel vor, der zur Anfechtbarkeit der Beschlüsse führt (§ 243 AktG analog).</w:t>
      </w:r>
    </w:p>
    <w:p>
      <w:pPr>
        <w:pStyle w:val="Heading3"/>
      </w:pPr>
      <w:r>
        <w:rPr>
          <w:rFonts w:ascii="Times New Roman" w:hAnsi="Times New Roman"/>
        </w:rPr>
        <w:t>3.2 Inhaltliche Mängel des Squeeze-out-Beschlusses</w:t>
      </w:r>
    </w:p>
    <w:p>
      <w:pPr>
        <w:pStyle w:val="ListNumber"/>
      </w:pPr>
      <w:r>
        <w:rPr>
          <w:b/>
        </w:rPr>
        <w:t>Keine ausreichende Mehrheit:</w:t>
      </w:r>
      <w:r>
        <w:t xml:space="preserve"> 300 zu 700 Stimmen ergibt unabhängig von der Auslegung keine qualifizierte Mehrheit; selbst wenn die Stimmen der Auszuschließenden abgezogen werden (was rechtlich unzulässig ist), verbleiben nur 300 verbleibende Stimmen — also 100 %, was aber eine Fiktion ohne gesetzliche Grundlage ist</w:t>
      </w:r>
    </w:p>
    <w:p>
      <w:pPr>
        <w:pStyle w:val="ListNumber"/>
      </w:pPr>
      <w:r>
        <w:rPr>
          <w:b/>
        </w:rPr>
        <w:t>Kein wichtiger Grund:</w:t>
      </w:r>
      <w:r>
        <w:t xml:space="preserve"> Legitime Wahrnehmung der Stimmrechte durch die Geisen-Familie begründet keinen Ausschlussgrund</w:t>
      </w:r>
    </w:p>
    <w:p>
      <w:pPr>
        <w:pStyle w:val="ListNumber"/>
      </w:pPr>
      <w:r>
        <w:rPr>
          <w:b/>
        </w:rPr>
        <w:t>Sittenwidrige Buchwertabfindung:</w:t>
      </w:r>
      <w:r>
        <w:t xml:space="preserve"> § 9 Abs. 3 GV in Verbindung mit dem konkreten Buchwert ist wegen offensichtlicher Unterschreitung des Verkehrswertes sittenwidrig (§ 138 BGB)</w:t>
      </w:r>
    </w:p>
    <w:p/>
    <w:p>
      <w:pPr>
        <w:pStyle w:val="Heading2"/>
      </w:pPr>
      <w:r>
        <w:rPr>
          <w:rFonts w:ascii="Times New Roman" w:hAnsi="Times New Roman"/>
        </w:rPr>
        <w:t>4. Sofortmaßnahmen nach der GV</w:t>
      </w:r>
    </w:p>
    <w:p>
      <w:pPr>
        <w:jc w:val="left"/>
      </w:pPr>
      <w:r>
        <w:t>Nach der GV haben die Mandanten unmittelbar gehandelt:</w:t>
      </w:r>
    </w:p>
    <w:p>
      <w:pPr>
        <w:pStyle w:val="ListNumber"/>
      </w:pPr>
      <w:r>
        <w:rPr>
          <w:b/>
        </w:rPr>
        <w:t>Widerspruch zu Protokoll:</w:t>
      </w:r>
      <w:r>
        <w:t xml:space="preserve"> Alle drei Familienmitglieder haben in der GV gegenüber dem Notar ausdrücklich zu Protokoll widersprochen</w:t>
      </w:r>
    </w:p>
    <w:p>
      <w:pPr>
        <w:pStyle w:val="ListNumber"/>
      </w:pPr>
      <w:r>
        <w:rPr>
          <w:b/>
        </w:rPr>
        <w:t>Anwaltsschreiben 16.04.2026:</w:t>
      </w:r>
      <w:r>
        <w:t xml:space="preserve"> Kanzlei DWSP hat Wittmann Holding schriftlich aufgefordert, den Beschluss als nichtig anzuerkennen und von weiteren Ausführungshandlungen abzusehen</w:t>
      </w:r>
    </w:p>
    <w:p>
      <w:pPr>
        <w:pStyle w:val="ListNumber"/>
      </w:pPr>
      <w:r>
        <w:rPr>
          <w:b/>
        </w:rPr>
        <w:t>Anfechtungsklage:</w:t>
      </w:r>
      <w:r>
        <w:t xml:space="preserve"> Einreichung beim LG Bielefeld bis 29.04.2026 (s. Aktenstück 08)</w:t>
      </w:r>
    </w:p>
    <w:p/>
    <w:p>
      <w:pPr>
        <w:jc w:val="left"/>
      </w:pPr>
      <w:r>
        <w:rPr>
          <w:i/>
        </w:rPr>
        <w:t>Erstellt: 19.04.2026 — Ass. iur. Miriam Sandtenbruch</w:t>
      </w:r>
    </w:p>
    <w:p>
      <w:pPr>
        <w:jc w:val="left"/>
      </w:pPr>
      <w:r>
        <w:rPr>
          <w:i/>
        </w:rPr>
        <w:t>Referenz: BGH II ZR 240/08; OLG Hamm 8 U 180/12; dejure.org/gesetze/AktG/243.html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