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06 — Abfindungsbewertungsstreit: Buchwert vs. Ertragswert</w:t>
      </w:r>
    </w:p>
    <w:p>
      <w:pPr>
        <w:jc w:val="left"/>
      </w:pPr>
      <w:r>
        <w:rPr>
          <w:b/>
        </w:rPr>
        <w:t>Akte:</w:t>
      </w:r>
      <w:r>
        <w:t xml:space="preserve"> DWSP/2026/GR-4417</w:t>
      </w:r>
    </w:p>
    <w:p>
      <w:pPr>
        <w:jc w:val="left"/>
      </w:pPr>
      <w:r>
        <w:rPr>
          <w:b/>
        </w:rPr>
        <w:t>Erstellt:</w:t>
      </w:r>
      <w:r>
        <w:t xml:space="preserve"> 21.04.2026</w:t>
      </w:r>
    </w:p>
    <w:p>
      <w:pPr>
        <w:jc w:val="left"/>
      </w:pPr>
      <w:r>
        <w:rPr>
          <w:b/>
        </w:rPr>
        <w:t>Bearbeiter:</w:t>
      </w:r>
      <w:r>
        <w:t xml:space="preserve"> Ass. iur. Miriam Sandtenbruch / WP Dr. Norbert Heidekämper (extern, Bewertungsfragen)</w:t>
      </w:r>
    </w:p>
    <w:p/>
    <w:p>
      <w:pPr>
        <w:pStyle w:val="Heading2"/>
      </w:pPr>
      <w:r>
        <w:rPr>
          <w:rFonts w:ascii="Times New Roman" w:hAnsi="Times New Roman"/>
        </w:rPr>
        <w:t>1. Ausgangslage</w:t>
      </w:r>
    </w:p>
    <w:p>
      <w:pPr>
        <w:jc w:val="left"/>
      </w:pPr>
      <w:r>
        <w:t>Die Wittmann Family Holding KG hat die Abfindung der ausgeschlossenen Gesellschafter auf Basis des Buchwertes gemäß § 9 Abs. 3 GV mit 3,4 Mio. EUR beziffert. Die Geisen-Familie hat ihrerseits WP Dr. Norbert Heidekämper (WP-Büro Heidekämper &amp; Söhne, Domplatz 14, 33098 Paderborn) mit der Ertragswertermittlung nach IDW S 1 beauftragt. Ergebnis: 9,8 Mio. EUR.</w:t>
      </w:r>
    </w:p>
    <w:p/>
    <w:p>
      <w:pPr>
        <w:pStyle w:val="Heading2"/>
      </w:pPr>
      <w:r>
        <w:rPr>
          <w:rFonts w:ascii="Times New Roman" w:hAnsi="Times New Roman"/>
        </w:rPr>
        <w:t>2. Buchwertermittlung (Position Wittmann Holding)</w:t>
      </w:r>
    </w:p>
    <w:p>
      <w:pPr>
        <w:jc w:val="left"/>
      </w:pPr>
      <w:r>
        <w:rPr>
          <w:b/>
        </w:rPr>
        <w:t>Datenbasis:</w:t>
      </w:r>
      <w:r>
        <w:t xml:space="preserve"> Vorläufige Bilanz 31.12.2024 (Jahresabschluss 2025 noch nicht festgestellt)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Bilanzposition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Buchwert (TEUR)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Sachanlagen (Maschinen, Werkzeuge, Fuhrpark)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1.840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Sachanlagen (Grundstück + Gebäude Sennelager)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2.100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Umlaufvermögen (Vorräte, Forderungen, Kasse)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1.580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Aktive Rechnungsabgrenzungsposten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80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Bilanzsumme Aktiva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5.600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Verbindlichkeiten (kurz- + langfristig)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-2.200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Eigenkapital (Buchwert)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3.400</w:t>
            </w:r>
          </w:p>
        </w:tc>
      </w:tr>
    </w:tbl>
    <w:p>
      <w:pPr>
        <w:jc w:val="left"/>
      </w:pPr>
      <w:r>
        <w:t>Gesamtabfindung Wittmann-Position: 3,4 Mio. EUR (= Eigenkapital Buchwert × 100 %, da alle Familien-Anteile zusammen 70 % ausmachen; Abfindung je Anteil proportional).</w:t>
      </w:r>
    </w:p>
    <w:p>
      <w:pPr>
        <w:jc w:val="left"/>
      </w:pPr>
      <w:r>
        <w:rPr>
          <w:b/>
        </w:rPr>
        <w:t>Kritik:</w:t>
      </w:r>
    </w:p>
    <w:p>
      <w:pPr>
        <w:pStyle w:val="ListBullet"/>
      </w:pPr>
      <w:r>
        <w:t>Grundstück Sennelager wurde 1989 für 420.000 EUR erworben; Verkehrswert 2025 schätzungsweise 2,9–3,2 Mio. EUR (stille Reserve: ca. 1,0–1,1 Mio. EUR)</w:t>
      </w:r>
    </w:p>
    <w:p>
      <w:pPr>
        <w:pStyle w:val="ListBullet"/>
      </w:pPr>
      <w:r>
        <w:t>Maschinen und Fertigungsanlagen (CNC-Fräsen, Lasertechnik) teilweise vollständig abgeschrieben, aber noch voll betriebsfähig und teils erst 2021/2022 angeschafft</w:t>
      </w:r>
    </w:p>
    <w:p>
      <w:pPr>
        <w:pStyle w:val="ListBullet"/>
      </w:pPr>
      <w:r>
        <w:t>Marke „Küchenkönig" und Kundenstamm (&gt;8.000 Stammkunden, Warteliste 14 Monate) erscheinen gar nicht in der Bilanz</w:t>
      </w:r>
    </w:p>
    <w:p>
      <w:pPr>
        <w:pStyle w:val="ListBullet"/>
      </w:pPr>
      <w:r>
        <w:t>Polska-Abschreibung 2026 mindert den Buchwert weiter, obwohl diese außerordentliche Position nicht zum normalen Unternehmensertrag gehört</w:t>
      </w:r>
    </w:p>
    <w:p/>
    <w:p>
      <w:pPr>
        <w:pStyle w:val="Heading2"/>
      </w:pPr>
      <w:r>
        <w:rPr>
          <w:rFonts w:ascii="Times New Roman" w:hAnsi="Times New Roman"/>
        </w:rPr>
        <w:t>3. Ertragswertermittlung nach IDW S 1 (Position Geisen-Familie)</w:t>
      </w:r>
    </w:p>
    <w:p>
      <w:pPr>
        <w:jc w:val="left"/>
      </w:pPr>
      <w:r>
        <w:t>WP Dr. Heidekämper hat das Unternehmen nach dem Ertragswertverfahren gemäß IDW S 1 i.d.F. 2008 bewertet. Zentrale Parameter: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Parameter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Wert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Herleitung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Nachhaltiger Jahresüberschuss (bereinigt)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2,05 Mio. EUR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Ø 2023–2025, bereinigt um Polska-Anlaufverluste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Wachstumsrate (g)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1,5 %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Langfristiger Nominalwachstum, konservativ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Basiszinssatz (risikolos)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2,5 %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Stichtagsbezogen, Bundesbankveröffentlichung April 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Marktrisikoprämie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7,0 %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IDW-Empfehlung 2024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Betafaktor (unverschuldet)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0,90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Peer-Group-Vergleich (Möbelbranche, Premiumsegment)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Kapitalisierungszinssatz (WACC-Eigenkapital)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8,8 %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CAPM: rf + Beta × MRP − 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Ertragswert (Perpetuity-Formel)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ca. 9,8 Mio. EUR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 / (WACC − g) = 2,05 / (0,088 − 0,015)</w:t>
            </w:r>
          </w:p>
        </w:tc>
      </w:tr>
    </w:tbl>
    <w:p>
      <w:pPr>
        <w:jc w:val="left"/>
      </w:pPr>
      <w:r>
        <w:rPr>
          <w:b/>
        </w:rPr>
        <w:t>Plausibilitätsprüfung:</w:t>
      </w:r>
      <w:r>
        <w:t xml:space="preserve"> Branchenübliche EV/EBIT-Multiples für Premiumküchenhersteller liegen laut M&amp;A-Datenbank (Stand Q1 2026) bei 5–8× EBIT. Mit EBIT 2025 von 2,6 Mio. EUR ergibt sich ein Unternehmenswert von 13,0–20,8 Mio. EUR (EV). Abzüglich Nettofinanzverbindlichkeiten (ca. 0,8 Mio. EUR) ergibt sich ein Equity-Wert von 12,2–20,0 Mio. EUR. Der Ertragswert von 9,8 Mio. EUR liegt damit sogar am unteren Ende des Plausibilitätsrahmens — der WP-Ansatz ist eher konservativ.</w:t>
      </w:r>
    </w:p>
    <w:p/>
    <w:p>
      <w:pPr>
        <w:pStyle w:val="Heading2"/>
      </w:pPr>
      <w:r>
        <w:rPr>
          <w:rFonts w:ascii="Times New Roman" w:hAnsi="Times New Roman"/>
        </w:rPr>
        <w:t>4. Rechtliche Konsequenzen der Bewertungslücke</w:t>
      </w:r>
    </w:p>
    <w:p>
      <w:pPr>
        <w:pStyle w:val="Heading3"/>
      </w:pPr>
      <w:r>
        <w:rPr>
          <w:rFonts w:ascii="Times New Roman" w:hAnsi="Times New Roman"/>
        </w:rPr>
        <w:t>4.1 Sittenwidrigkeit der Buchwertklausel</w:t>
      </w:r>
    </w:p>
    <w:p>
      <w:pPr>
        <w:jc w:val="left"/>
      </w:pPr>
      <w:r>
        <w:t>Die Differenz zwischen Buchwert (3,4 Mio. EUR) und Ertragswert (9,8 Mio. EUR) beträgt 6,4 Mio. EUR = 188 % des Buchwertes. Nach der Rechtsprechung des BGH (BGHZ 116, 359; BGHZ 123, 281) ist eine Buchwertklausel sittenwidrig, sobald die Diskrepanz zum Verkehrswert so erheblich ist, dass der ausscheidende Gesellschafter faktisch entreichert wird. Eine Diskrepanz von 188 % überschreitet jede vertretbare Toleranzschwelle.</w:t>
      </w:r>
    </w:p>
    <w:p>
      <w:pPr>
        <w:jc w:val="left"/>
      </w:pPr>
      <w:r>
        <w:rPr>
          <w:b/>
        </w:rPr>
        <w:t>Folge:</w:t>
      </w:r>
      <w:r>
        <w:t xml:space="preserve"> § 9 Abs. 3 GV ist in Bezug auf den Buchwert nichtig (§ 138 Abs. 1 BGB). An seine Stelle tritt der gesetzliche Abfindungsanspruch zum vollen Verkehrswert.</w:t>
      </w:r>
    </w:p>
    <w:p>
      <w:pPr>
        <w:pStyle w:val="Heading3"/>
      </w:pPr>
      <w:r>
        <w:rPr>
          <w:rFonts w:ascii="Times New Roman" w:hAnsi="Times New Roman"/>
        </w:rPr>
        <w:t>4.2 Streitwertberechnung für das Anfechtungsverfahren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Abfindungsanspruch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Betrag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Ertragswert gesamt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9,8 Mio.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Anteil Geisen-Familie (70 %)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6,86 Mio.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Wittmann-Angebot (Buchwert 70 %)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2,38 Mio.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Streitwert (Differenz)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ca. 4,48 Mio. EUR</w:t>
            </w:r>
          </w:p>
        </w:tc>
      </w:tr>
    </w:tbl>
    <w:p>
      <w:pPr>
        <w:jc w:val="left"/>
      </w:pPr>
      <w:r>
        <w:t>Für die Anfechtungsklage LG Bielefeld wird der Streitwert auf 6,4 Mio. EUR angesetzt (Differenz Ertragswert gesamt minus Buchwert gesamt), da es um den Beschluss insgesamt geht.</w:t>
      </w:r>
    </w:p>
    <w:p>
      <w:pPr>
        <w:pStyle w:val="Heading3"/>
      </w:pPr>
      <w:r>
        <w:rPr>
          <w:rFonts w:ascii="Times New Roman" w:hAnsi="Times New Roman"/>
        </w:rPr>
        <w:t>4.3 Prozessuale Strategie Bewertung</w:t>
      </w:r>
    </w:p>
    <w:p>
      <w:pPr>
        <w:pStyle w:val="ListNumber"/>
      </w:pPr>
      <w:r>
        <w:rPr>
          <w:b/>
        </w:rPr>
        <w:t>Doppelstrategie:</w:t>
      </w:r>
      <w:r>
        <w:t xml:space="preserve"> Primär Nichtigkeit/Anfechtung des Beschlusses; hilfsweise — für den Fall, dass der Beschluss wirksam sein sollte — Abfindungserhöhung auf Ertragswert</w:t>
      </w:r>
    </w:p>
    <w:p>
      <w:pPr>
        <w:pStyle w:val="ListNumber"/>
      </w:pPr>
      <w:r>
        <w:rPr>
          <w:b/>
        </w:rPr>
        <w:t>Sachverständigengutachten:</w:t>
      </w:r>
      <w:r>
        <w:t xml:space="preserve"> Im Klageverfahren wird ein gerichtlich bestellter Sachverständiger die IDW S 1-Bewertung von Dr. Heidekämper überprüfen (s. Aktenstück 19)</w:t>
      </w:r>
    </w:p>
    <w:p>
      <w:pPr>
        <w:pStyle w:val="ListNumber"/>
      </w:pPr>
      <w:r>
        <w:rPr>
          <w:b/>
        </w:rPr>
        <w:t>Beweissicherung:</w:t>
      </w:r>
      <w:r>
        <w:t xml:space="preserve"> Sofortige Sicherung der Unternehmensunterlagen und Buchhaltungsdaten durch notarielle Urkunde, da bei Vollzug des Squeeze-out Zugang zur Buchführung gefährdet ist</w:t>
      </w:r>
    </w:p>
    <w:p/>
    <w:p>
      <w:pPr>
        <w:pStyle w:val="Heading2"/>
      </w:pPr>
      <w:r>
        <w:rPr>
          <w:rFonts w:ascii="Times New Roman" w:hAnsi="Times New Roman"/>
        </w:rPr>
        <w:t>5. Vergleichsüberlegungen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Vergleichsvariante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Abfindung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Szenario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Buchwert (Wittmann-Position)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3,40 Mio. EUR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Worst-Case für Mandanten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50/50-Kompromiss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6,60 Mio. EUR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Vergleichsmöglichkeit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Ertragswert IDW S 1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9,80 Mio. EUR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Best-Case für Mandanten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EV/EBIT 6,0× (Marktmultiple)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ca. 14,80 Mio. EUR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Oberer Plausibilitätsrahmen</w:t>
            </w:r>
          </w:p>
        </w:tc>
      </w:tr>
    </w:tbl>
    <w:p>
      <w:pPr>
        <w:jc w:val="left"/>
      </w:pPr>
      <w:r>
        <w:t>Strategisch empfiehlt sich, den Vergleichskorridor auf Basis des Ertragswerts IDW S 1 (9,8 Mio. EUR) zu verhandeln, mit einem Vergleichsziel bei mindestens 7,5–8,0 Mio. EUR.</w:t>
      </w:r>
    </w:p>
    <w:p/>
    <w:p>
      <w:pPr>
        <w:jc w:val="left"/>
      </w:pPr>
      <w:r>
        <w:rPr>
          <w:i/>
        </w:rPr>
        <w:t>Erstellt: 21.04.2026 — Ass. iur. Miriam Sandtenbruch / WP Dr. Norbert Heidekämper (extern)</w:t>
      </w:r>
    </w:p>
    <w:p>
      <w:pPr>
        <w:jc w:val="left"/>
      </w:pPr>
      <w:r>
        <w:rPr>
          <w:i/>
        </w:rPr>
        <w:t>Referenz: IDW S 1 i.d.F. 2008; BGH BGHZ 116, 359; BGH BGHZ 123, 281; bundesgerichtshof.de/SharedDocs/Entscheidungen/DE/2009/10/IIZr240-08.html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