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Stille Gesellschaft Karlheinz Wetterhof: Auseinandersetzungsstreit</w:t>
      </w:r>
    </w:p>
    <w:p>
      <w:pPr>
        <w:jc w:val="left"/>
      </w:pPr>
      <w:r>
        <w:rPr>
          <w:b/>
        </w:rPr>
        <w:t>Akte:</w:t>
      </w:r>
      <w:r>
        <w:t xml:space="preserve"> DWSP/2026/GR-4417</w:t>
      </w:r>
    </w:p>
    <w:p>
      <w:pPr>
        <w:jc w:val="left"/>
      </w:pPr>
      <w:r>
        <w:rPr>
          <w:b/>
        </w:rPr>
        <w:t>Erstellt:</w:t>
      </w:r>
      <w:r>
        <w:t xml:space="preserve"> 22.04.2026</w:t>
      </w:r>
    </w:p>
    <w:p>
      <w:pPr>
        <w:jc w:val="left"/>
      </w:pPr>
      <w:r>
        <w:rPr>
          <w:b/>
        </w:rPr>
        <w:t>Bearbeiter:</w:t>
      </w:r>
      <w:r>
        <w:t xml:space="preserve"> RAin Kerstin Wegener (Partnerin), Kanzlei DWSP</w:t>
      </w:r>
    </w:p>
    <w:p/>
    <w:p>
      <w:pPr>
        <w:pStyle w:val="Heading2"/>
      </w:pPr>
      <w:r>
        <w:rPr>
          <w:rFonts w:ascii="Times New Roman" w:hAnsi="Times New Roman"/>
        </w:rPr>
        <w:t>1. Sachverhalt</w:t>
      </w:r>
    </w:p>
    <w:p>
      <w:pPr>
        <w:pStyle w:val="Heading3"/>
      </w:pPr>
      <w:r>
        <w:rPr>
          <w:rFonts w:ascii="Times New Roman" w:hAnsi="Times New Roman"/>
        </w:rPr>
        <w:t>1.1 Ausgangslage</w:t>
      </w:r>
    </w:p>
    <w:p>
      <w:pPr>
        <w:jc w:val="left"/>
      </w:pPr>
      <w:r>
        <w:t>Karlheinz Wetterhof (geb. 1969, Kaufmann) ist der Ehemann von Kommanditistin Cornelia Geisen-Wetterhof. Die Ehe wurde im November 2025 getrennt. Karlheinz Wetterhof hat am 15. Juni 2019 einen Vertrag über eine typisch stille Gesellschaft mit der Küchenkönig Manufaktur GmbH &amp; Co. KG geschlossen.</w:t>
      </w:r>
    </w:p>
    <w:p>
      <w:pPr>
        <w:jc w:val="left"/>
      </w:pPr>
      <w:r>
        <w:rPr>
          <w:b/>
        </w:rPr>
        <w:t>Einlage:</w:t>
      </w:r>
      <w:r>
        <w:t xml:space="preserve"> 200.000 EUR, vollständig eingezahlt am 18.06.2019</w:t>
      </w:r>
    </w:p>
    <w:p>
      <w:pPr>
        <w:jc w:val="left"/>
      </w:pPr>
      <w:r>
        <w:rPr>
          <w:b/>
        </w:rPr>
        <w:t>Vertragsparteien:</w:t>
      </w:r>
      <w:r>
        <w:t xml:space="preserve"> Küchenkönig Manufaktur GmbH &amp; Co. KG (Inhaber) und Karlheinz Wetterhof (stiller Gesellschafter)</w:t>
      </w:r>
    </w:p>
    <w:p>
      <w:pPr>
        <w:jc w:val="left"/>
      </w:pPr>
      <w:r>
        <w:rPr>
          <w:b/>
        </w:rPr>
        <w:t>Rechtsnatur:</w:t>
      </w:r>
      <w:r>
        <w:t xml:space="preserve"> Typisch stille Gesellschaft i.S.d. §§ 230–236 HGB</w:t>
      </w:r>
    </w:p>
    <w:p>
      <w:pPr>
        <w:pStyle w:val="Heading3"/>
      </w:pPr>
      <w:r>
        <w:rPr>
          <w:rFonts w:ascii="Times New Roman" w:hAnsi="Times New Roman"/>
        </w:rPr>
        <w:t>1.2 Vertragswesentliche Regelungen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Klausel</w:t>
            </w:r>
          </w:p>
        </w:tc>
        <w:tc>
          <w:tcPr>
            <w:tcW w:type="dxa" w:w="4536"/>
          </w:tcPr>
          <w:p>
            <w:r>
              <w:rPr>
                <w:rFonts w:ascii="Times New Roman" w:hAnsi="Times New Roman"/>
                <w:b/>
                <w:sz w:val="20"/>
              </w:rPr>
              <w:t>Inhalt</w:t>
            </w:r>
          </w:p>
        </w:tc>
      </w:tr>
      <w:tr>
        <w:tc>
          <w:tcPr>
            <w:tcW w:type="dxa" w:w="4536"/>
          </w:tcPr>
          <w:p>
            <w:r>
              <w:rPr>
                <w:rFonts w:ascii="Times New Roman" w:hAnsi="Times New Roman"/>
                <w:sz w:val="20"/>
              </w:rPr>
              <w:t>Festverzinsung</w:t>
            </w:r>
          </w:p>
        </w:tc>
        <w:tc>
          <w:tcPr>
            <w:tcW w:type="dxa" w:w="4536"/>
          </w:tcPr>
          <w:p>
            <w:r>
              <w:rPr>
                <w:rFonts w:ascii="Times New Roman" w:hAnsi="Times New Roman"/>
                <w:sz w:val="20"/>
              </w:rPr>
              <w:t>4,5 % p.a. auf die Einlage = 9.000 EUR p.a.</w:t>
            </w:r>
          </w:p>
        </w:tc>
      </w:tr>
      <w:tr>
        <w:tc>
          <w:tcPr>
            <w:tcW w:type="dxa" w:w="4536"/>
          </w:tcPr>
          <w:p>
            <w:r>
              <w:rPr>
                <w:rFonts w:ascii="Times New Roman" w:hAnsi="Times New Roman"/>
                <w:sz w:val="20"/>
              </w:rPr>
              <w:t>Gewinnbeteiligung</w:t>
            </w:r>
          </w:p>
        </w:tc>
        <w:tc>
          <w:tcPr>
            <w:tcW w:type="dxa" w:w="4536"/>
          </w:tcPr>
          <w:p>
            <w:r>
              <w:rPr>
                <w:rFonts w:ascii="Times New Roman" w:hAnsi="Times New Roman"/>
                <w:sz w:val="20"/>
              </w:rPr>
              <w:t>2 % des Jahresüberschusses der KG (nach Steuern)</w:t>
            </w:r>
          </w:p>
        </w:tc>
      </w:tr>
      <w:tr>
        <w:tc>
          <w:tcPr>
            <w:tcW w:type="dxa" w:w="4536"/>
          </w:tcPr>
          <w:p>
            <w:r>
              <w:rPr>
                <w:rFonts w:ascii="Times New Roman" w:hAnsi="Times New Roman"/>
                <w:sz w:val="20"/>
              </w:rPr>
              <w:t>Verlustbeteiligung</w:t>
            </w:r>
          </w:p>
        </w:tc>
        <w:tc>
          <w:tcPr>
            <w:tcW w:type="dxa" w:w="4536"/>
          </w:tcPr>
          <w:p>
            <w:r>
              <w:rPr>
                <w:rFonts w:ascii="Times New Roman" w:hAnsi="Times New Roman"/>
                <w:sz w:val="20"/>
              </w:rPr>
              <w:t>Ausgeschlossen; Einlage kann durch Verluste aufgezehrt werden, jedoch max. bis auf 0 EUR</w:t>
            </w:r>
          </w:p>
        </w:tc>
      </w:tr>
      <w:tr>
        <w:tc>
          <w:tcPr>
            <w:tcW w:type="dxa" w:w="4536"/>
          </w:tcPr>
          <w:p>
            <w:r>
              <w:rPr>
                <w:rFonts w:ascii="Times New Roman" w:hAnsi="Times New Roman"/>
                <w:sz w:val="20"/>
              </w:rPr>
              <w:t>Informationsrechte</w:t>
            </w:r>
          </w:p>
        </w:tc>
        <w:tc>
          <w:tcPr>
            <w:tcW w:type="dxa" w:w="4536"/>
          </w:tcPr>
          <w:p>
            <w:r>
              <w:rPr>
                <w:rFonts w:ascii="Times New Roman" w:hAnsi="Times New Roman"/>
                <w:sz w:val="20"/>
              </w:rPr>
              <w:t>Jährliche Übersendung des festgestellten Jahresabschlusses</w:t>
            </w:r>
          </w:p>
        </w:tc>
      </w:tr>
      <w:tr>
        <w:tc>
          <w:tcPr>
            <w:tcW w:type="dxa" w:w="4536"/>
          </w:tcPr>
          <w:p>
            <w:r>
              <w:rPr>
                <w:rFonts w:ascii="Times New Roman" w:hAnsi="Times New Roman"/>
                <w:sz w:val="20"/>
              </w:rPr>
              <w:t>Kündigung</w:t>
            </w:r>
          </w:p>
        </w:tc>
        <w:tc>
          <w:tcPr>
            <w:tcW w:type="dxa" w:w="4536"/>
          </w:tcPr>
          <w:p>
            <w:r>
              <w:rPr>
                <w:rFonts w:ascii="Times New Roman" w:hAnsi="Times New Roman"/>
                <w:sz w:val="20"/>
              </w:rPr>
              <w:t>Ordentlich: 6 Monate zum 31.12. eines Jahres; außerordentlich: bei wichtigem Grund</w:t>
            </w:r>
          </w:p>
        </w:tc>
      </w:tr>
      <w:tr>
        <w:tc>
          <w:tcPr>
            <w:tcW w:type="dxa" w:w="4536"/>
          </w:tcPr>
          <w:p>
            <w:r>
              <w:rPr>
                <w:rFonts w:ascii="Times New Roman" w:hAnsi="Times New Roman"/>
                <w:sz w:val="20"/>
              </w:rPr>
              <w:t>Auseinandersetzung</w:t>
            </w:r>
          </w:p>
        </w:tc>
        <w:tc>
          <w:tcPr>
            <w:tcW w:type="dxa" w:w="4536"/>
          </w:tcPr>
          <w:p>
            <w:r>
              <w:rPr>
                <w:rFonts w:ascii="Times New Roman" w:hAnsi="Times New Roman"/>
                <w:sz w:val="20"/>
              </w:rPr>
              <w:t>Rückzahlung der Einlage nach Erstellung der Auseinandersetzungsbilanz (§ 235 HGB)</w:t>
            </w:r>
          </w:p>
        </w:tc>
      </w:tr>
    </w:tbl>
    <w:p>
      <w:pPr>
        <w:pStyle w:val="Heading3"/>
      </w:pPr>
      <w:r>
        <w:rPr>
          <w:rFonts w:ascii="Times New Roman" w:hAnsi="Times New Roman"/>
        </w:rPr>
        <w:t>1.3 Kündigung und Streitpunkte</w:t>
      </w:r>
    </w:p>
    <w:p>
      <w:pPr>
        <w:jc w:val="left"/>
      </w:pPr>
      <w:r>
        <w:t>Karlheinz Wetterhof hat am 15.11.2025 die stille Gesellschaft außerordentlich gekündigt und sofortige Abrechnung verlangt. Die Gesellschaft bestreitet das Recht zur außerordentlichen Kündigung und beharrt auf der ordentlichen Kündigungsfrist: nächstmögliches Auseinandersetzungsdatum wäre damit der 31.12.2026.</w:t>
      </w:r>
    </w:p>
    <w:p/>
    <w:p>
      <w:pPr>
        <w:pStyle w:val="Heading2"/>
      </w:pPr>
      <w:r>
        <w:rPr>
          <w:rFonts w:ascii="Times New Roman" w:hAnsi="Times New Roman"/>
        </w:rPr>
        <w:t>2. Rechtslage</w:t>
      </w:r>
    </w:p>
    <w:p>
      <w:pPr>
        <w:pStyle w:val="Heading3"/>
      </w:pPr>
      <w:r>
        <w:rPr>
          <w:rFonts w:ascii="Times New Roman" w:hAnsi="Times New Roman"/>
        </w:rPr>
        <w:t>2.1 Voraussetzungen der außerordentlichen Kündigung</w:t>
      </w:r>
    </w:p>
    <w:p>
      <w:pPr>
        <w:jc w:val="left"/>
      </w:pPr>
      <w:r>
        <w:t>Gemäß § 234 Abs. 1 HGB i.V.m. § 132 HGB n.F. (nach MoPeG) ist eine außerordentliche Kündigung aus wichtigem Grund jederzeit zulässig. Ein wichtiger Grund liegt vor, wenn dem Kündigenden die Fortsetzung des Vertragsverhältnisses unzumutbar ist.</w:t>
      </w:r>
    </w:p>
    <w:p>
      <w:pPr>
        <w:jc w:val="left"/>
      </w:pPr>
      <w:r>
        <w:t>Karlheinz Wetterhof macht geltend, das Vertrauensverhältnis zu seiner Frau (Kommanditistin) und damit zur Gesellschaft sei durch die Trennung zerstört; überdies befürchte er, dass der laufende Gesellschafterstreit (Squeeze-out, Polska-Verluste) den Wert seiner Einlage gefährde. Die Gesellschaft hält dem entgegen, dass persönliche Trennungsumstände keine gesellschaftsrechtlichen Folgen haben und kein wichtiger Grund vorläge.</w:t>
      </w:r>
    </w:p>
    <w:p>
      <w:pPr>
        <w:jc w:val="left"/>
      </w:pPr>
      <w:r>
        <w:rPr>
          <w:b/>
        </w:rPr>
        <w:t>Einschätzung:</w:t>
      </w:r>
      <w:r>
        <w:t xml:space="preserve"> Die Rechtsprechung ist hier großzügig. Das OLG Hamm hat in einem vergleichbaren Fall (OLG Hamm, Urt. v. 28.09.2011, 8 U 38/11) entschieden, dass die grundlegende Erschütterung des Vertrauensverhältnisses — auch durch außerhalb der stillen Gesellschaft liegende Umstände — einen wichtigen Grund begründen kann, wenn die Einlage bei Insolvenz oder schwerem Unternehmensrückgang gefährdet ist. Im vorliegenden Fall bestehen konkrete Risiken (Squeeze-out, Polska-Verluste, HinSchG-Meldung), die die Einlage tatsächlich gefährden könnten. Eine außerordentliche Kündigung wird daher als vertretbar angesehen.</w:t>
      </w:r>
    </w:p>
    <w:p>
      <w:pPr>
        <w:pStyle w:val="Heading3"/>
      </w:pPr>
      <w:r>
        <w:rPr>
          <w:rFonts w:ascii="Times New Roman" w:hAnsi="Times New Roman"/>
        </w:rPr>
        <w:t>2.2 Auseinandersetzungsbilanz (§ 235 HGB)</w:t>
      </w:r>
    </w:p>
    <w:p>
      <w:pPr>
        <w:jc w:val="left"/>
      </w:pPr>
      <w:r>
        <w:t>Bei einer stillen Gesellschaft erfolgt die Auseinandersetzung nach § 235 HGB: Der stille Gesellschafter hat Anspruch auf Rückzahlung seiner Einlage, ggf. vermindert um seinen Verlustanteil (bei typisch stiller Gesellschaft: max. bis 0 EUR). Darüber hinaus hat er Anspruch auf nicht ausgeschüttete Gewinnanteile für die Zeit bis zum Auseinandersetzungsstichtag.</w:t>
      </w:r>
    </w:p>
    <w:p>
      <w:pPr>
        <w:jc w:val="left"/>
      </w:pPr>
      <w:r>
        <w:rPr>
          <w:b/>
        </w:rPr>
        <w:t>Auseinandersetzungsbilanz</w:t>
      </w:r>
      <w:r>
        <w:t xml:space="preserve"> ist noch nicht erstellt. Auftrag an DWSP: Erstellung einer vorläufigen Auseinandersetzungsbilanz per 31.03.2026 (sofern außerordentliche Kündigung zum 15.11.2025 wirksam) oder per 31.12.2026 (ordentlich).</w:t>
      </w:r>
    </w:p>
    <w:p>
      <w:pPr>
        <w:pStyle w:val="Heading3"/>
      </w:pPr>
      <w:r>
        <w:rPr>
          <w:rFonts w:ascii="Times New Roman" w:hAnsi="Times New Roman"/>
        </w:rPr>
        <w:t>2.3 Streit über aufgelaufene Gegenforderungen</w:t>
      </w:r>
    </w:p>
    <w:p>
      <w:pPr>
        <w:jc w:val="left"/>
      </w:pPr>
      <w:r>
        <w:t>Die Gesellschaft macht eine Gegenforderung in Höhe von 28.000 EUR geltend: Wetterhof soll eine Beratungsrechnung für angebliche Vermittlungsleistungen erhalten haben, die gesellschaftsvertraglich nicht vorgesehen war. Karlheinz Wetterhof bestreitet diese Forderung. Sachliche Prüfung erforderlich.</w:t>
      </w:r>
    </w:p>
    <w:p/>
    <w:p>
      <w:pPr>
        <w:pStyle w:val="Heading2"/>
      </w:pPr>
      <w:r>
        <w:rPr>
          <w:rFonts w:ascii="Times New Roman" w:hAnsi="Times New Roman"/>
        </w:rPr>
        <w:t>3. Auseinandersetzungsrechnung (vorläufig, per 31.03.2026)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Einlage (Kapitalkonto)</w:t>
            </w:r>
          </w:p>
        </w:tc>
        <w:tc>
          <w:tcPr>
            <w:tcW w:type="dxa" w:w="4536"/>
          </w:tcPr>
          <w:p>
            <w:r>
              <w:rPr>
                <w:rFonts w:ascii="Times New Roman" w:hAnsi="Times New Roman"/>
                <w:sz w:val="20"/>
              </w:rPr>
              <w:t>200.000</w:t>
            </w:r>
          </w:p>
        </w:tc>
      </w:tr>
      <w:tr>
        <w:tc>
          <w:tcPr>
            <w:tcW w:type="dxa" w:w="4536"/>
          </w:tcPr>
          <w:p>
            <w:r>
              <w:rPr>
                <w:rFonts w:ascii="Times New Roman" w:hAnsi="Times New Roman"/>
                <w:sz w:val="20"/>
              </w:rPr>
              <w:t>Aufgelaufene, nicht ausgeschüttete Verzinsung 2024–Q1 2026</w:t>
            </w:r>
          </w:p>
        </w:tc>
        <w:tc>
          <w:tcPr>
            <w:tcW w:type="dxa" w:w="4536"/>
          </w:tcPr>
          <w:p>
            <w:r>
              <w:rPr>
                <w:rFonts w:ascii="Times New Roman" w:hAnsi="Times New Roman"/>
                <w:sz w:val="20"/>
              </w:rPr>
              <w:t>11.250</w:t>
            </w:r>
          </w:p>
        </w:tc>
      </w:tr>
      <w:tr>
        <w:tc>
          <w:tcPr>
            <w:tcW w:type="dxa" w:w="4536"/>
          </w:tcPr>
          <w:p>
            <w:r>
              <w:rPr>
                <w:rFonts w:ascii="Times New Roman" w:hAnsi="Times New Roman"/>
                <w:sz w:val="20"/>
              </w:rPr>
              <w:t>Gewinnbeteiligung 2024 (2 % von 1.820 TEUR)</w:t>
            </w:r>
          </w:p>
        </w:tc>
        <w:tc>
          <w:tcPr>
            <w:tcW w:type="dxa" w:w="4536"/>
          </w:tcPr>
          <w:p>
            <w:r>
              <w:rPr>
                <w:rFonts w:ascii="Times New Roman" w:hAnsi="Times New Roman"/>
                <w:sz w:val="20"/>
              </w:rPr>
              <w:t>36.400</w:t>
            </w:r>
          </w:p>
        </w:tc>
      </w:tr>
      <w:tr>
        <w:tc>
          <w:tcPr>
            <w:tcW w:type="dxa" w:w="4536"/>
          </w:tcPr>
          <w:p>
            <w:r>
              <w:rPr>
                <w:rFonts w:ascii="Times New Roman" w:hAnsi="Times New Roman"/>
                <w:sz w:val="20"/>
              </w:rPr>
              <w:t>Gewinnbeteiligung 2023 (2 % von 1.600 TEUR)</w:t>
            </w:r>
          </w:p>
        </w:tc>
        <w:tc>
          <w:tcPr>
            <w:tcW w:type="dxa" w:w="4536"/>
          </w:tcPr>
          <w:p>
            <w:r>
              <w:rPr>
                <w:rFonts w:ascii="Times New Roman" w:hAnsi="Times New Roman"/>
                <w:sz w:val="20"/>
              </w:rPr>
              <w:t>32.000</w:t>
            </w:r>
          </w:p>
        </w:tc>
      </w:tr>
      <w:tr>
        <w:tc>
          <w:tcPr>
            <w:tcW w:type="dxa" w:w="4536"/>
          </w:tcPr>
          <w:p>
            <w:r>
              <w:rPr>
                <w:rFonts w:ascii="Times New Roman" w:hAnsi="Times New Roman"/>
                <w:sz w:val="20"/>
              </w:rPr>
              <w:t>Anteiliger Gewinn Q1 2025 (2 % von 2.100 TEUR × 25 %)</w:t>
            </w:r>
          </w:p>
        </w:tc>
        <w:tc>
          <w:tcPr>
            <w:tcW w:type="dxa" w:w="4536"/>
          </w:tcPr>
          <w:p>
            <w:r>
              <w:rPr>
                <w:rFonts w:ascii="Times New Roman" w:hAnsi="Times New Roman"/>
                <w:sz w:val="20"/>
              </w:rPr>
              <w:t>10.500</w:t>
            </w:r>
          </w:p>
        </w:tc>
      </w:tr>
      <w:tr>
        <w:tc>
          <w:tcPr>
            <w:tcW w:type="dxa" w:w="4536"/>
          </w:tcPr>
          <w:p>
            <w:r>
              <w:rPr>
                <w:rFonts w:ascii="Times New Roman" w:hAnsi="Times New Roman"/>
                <w:sz w:val="20"/>
              </w:rPr>
              <w:t>Streitige Gegenforderung der Gesellschaft</w:t>
            </w:r>
          </w:p>
        </w:tc>
        <w:tc>
          <w:tcPr>
            <w:tcW w:type="dxa" w:w="4536"/>
          </w:tcPr>
          <w:p>
            <w:r>
              <w:rPr>
                <w:rFonts w:ascii="Times New Roman" w:hAnsi="Times New Roman"/>
                <w:sz w:val="20"/>
              </w:rPr>
              <w:t>−28.000</w:t>
            </w:r>
          </w:p>
        </w:tc>
      </w:tr>
      <w:tr>
        <w:tc>
          <w:tcPr>
            <w:tcW w:type="dxa" w:w="4536"/>
          </w:tcPr>
          <w:p>
            <w:r>
              <w:rPr>
                <w:rFonts w:ascii="Times New Roman" w:hAnsi="Times New Roman"/>
                <w:b/>
                <w:sz w:val="20"/>
              </w:rPr>
              <w:t>Vorläufiger Auseinandersetzungsanspruch</w:t>
            </w:r>
          </w:p>
        </w:tc>
        <w:tc>
          <w:tcPr>
            <w:tcW w:type="dxa" w:w="4536"/>
          </w:tcPr>
          <w:p>
            <w:r>
              <w:rPr>
                <w:rFonts w:ascii="Times New Roman" w:hAnsi="Times New Roman"/>
                <w:b/>
                <w:sz w:val="20"/>
              </w:rPr>
              <w:t>262.150</w:t>
            </w:r>
          </w:p>
        </w:tc>
      </w:tr>
    </w:tbl>
    <w:p>
      <w:pPr>
        <w:jc w:val="left"/>
      </w:pPr>
      <w:r>
        <w:rPr>
          <w:i/>
        </w:rPr>
        <w:t>Vorbehalt: Endgültige Berechnung nach festgestelltem Jahresabschluss 2025 und gerichtlicher Klärung der Gegenforderung.</w:t>
      </w:r>
    </w:p>
    <w:p/>
    <w:p>
      <w:pPr>
        <w:pStyle w:val="Heading2"/>
      </w:pPr>
      <w:r>
        <w:rPr>
          <w:rFonts w:ascii="Times New Roman" w:hAnsi="Times New Roman"/>
        </w:rPr>
        <w:t>4. Verknüpfung mit Trennungsrecht und Zugewinn</w:t>
      </w:r>
    </w:p>
    <w:p>
      <w:pPr>
        <w:jc w:val="left"/>
      </w:pPr>
      <w:r>
        <w:t>Die stille Beteiligung von Karlheinz Wetterhof ist bei der Trennungsauseinandersetzung zwischen Cornelia und Karlheinz als Vermögensgegenstand zu berücksichtigen. Der Auseinandersetzungsanspruch (vorläufig: 262.150 EUR) fließt in das Endvermögen von Karlheinz ein. Da die stille Beteiligung nach dem Ehevertrag (soweit vorhanden) oder im gesetzlichen Güterstand bewertungsrelevant ist, hat das familienrechtliche Mandat (Kanzlei Hüttemann) entsprechende Informationen erhalten.</w:t>
      </w:r>
    </w:p>
    <w:p>
      <w:pPr>
        <w:jc w:val="left"/>
      </w:pPr>
      <w:r>
        <w:t>Wichtiger Hinweis: Die Gesellschaft darf ohne Zustimmung aller Gesellschafter keine vorzeitige Auszahlung an Karlheinz Wetterhof vornehmen, bevor die Auseinandersetzungsbilanz festgestellt ist (§ 235 Abs. 2 HGB).</w:t>
      </w:r>
    </w:p>
    <w:p/>
    <w:p>
      <w:pPr>
        <w:pStyle w:val="Heading2"/>
      </w:pPr>
      <w:r>
        <w:rPr>
          <w:rFonts w:ascii="Times New Roman" w:hAnsi="Times New Roman"/>
        </w:rPr>
        <w:t>5. Empfehlung</w:t>
      </w:r>
    </w:p>
    <w:p>
      <w:pPr>
        <w:pStyle w:val="ListNumber"/>
      </w:pPr>
      <w:r>
        <w:t>Außerordentliche Kündigung rückwirkend anerkennen (Stichtag 30.11.2025 oder 31.12.2025), um Klarheit zu schaffen</w:t>
      </w:r>
    </w:p>
    <w:p>
      <w:pPr>
        <w:pStyle w:val="ListNumber"/>
      </w:pPr>
      <w:r>
        <w:t>Auseinandersetzungsbilanz bis 30.06.2026 erstellen</w:t>
      </w:r>
    </w:p>
    <w:p>
      <w:pPr>
        <w:pStyle w:val="ListNumber"/>
      </w:pPr>
      <w:r>
        <w:t>Gegenforderung (28.000 EUR) eingehend prüfen und ggf. aufgeben, um Vergleich zu ermöglichen</w:t>
      </w:r>
    </w:p>
    <w:p>
      <w:pPr>
        <w:pStyle w:val="ListNumber"/>
      </w:pPr>
      <w:r>
        <w:t>Zahlung des Auseinandersetzungsguthabens Zug-um-Zug gegen Quittung</w:t>
      </w:r>
    </w:p>
    <w:p/>
    <w:p>
      <w:pPr>
        <w:jc w:val="left"/>
      </w:pPr>
      <w:r>
        <w:rPr>
          <w:i/>
        </w:rPr>
        <w:t>Erstellt: 22.04.2026 — RAin Kerstin Wegener, Partnerin, DWSP</w:t>
      </w:r>
    </w:p>
    <w:p>
      <w:pPr>
        <w:jc w:val="left"/>
      </w:pPr>
      <w:r>
        <w:rPr>
          <w:i/>
        </w:rPr>
        <w:t>Referenz: §§ 230–236 HGB (dejure.org/gesetze/HGB/230.html); OLG Hamm 8 U 38/11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