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Geschäftsführerhaftung § 43 GmbHG: Polska-Investition</w:t>
      </w:r>
    </w:p>
    <w:p>
      <w:pPr>
        <w:jc w:val="left"/>
      </w:pPr>
      <w:r>
        <w:rPr>
          <w:b/>
        </w:rPr>
        <w:t>Akte:</w:t>
      </w:r>
      <w:r>
        <w:t xml:space="preserve"> DWSP/2026/GR-4417</w:t>
      </w:r>
    </w:p>
    <w:p>
      <w:pPr>
        <w:jc w:val="left"/>
      </w:pPr>
      <w:r>
        <w:rPr>
          <w:b/>
        </w:rPr>
        <w:t>Erstellt:</w:t>
      </w:r>
      <w:r>
        <w:t xml:space="preserve"> 23.04.2026</w:t>
      </w:r>
    </w:p>
    <w:p>
      <w:pPr>
        <w:jc w:val="left"/>
      </w:pPr>
      <w:r>
        <w:rPr>
          <w:b/>
        </w:rPr>
        <w:t>Bearbeiter:</w:t>
      </w:r>
      <w:r>
        <w:t xml:space="preserve"> Prof. Dr. Wieland Drosselberg</w:t>
      </w:r>
    </w:p>
    <w:p/>
    <w:p>
      <w:pPr>
        <w:pStyle w:val="Heading2"/>
      </w:pPr>
      <w:r>
        <w:rPr>
          <w:rFonts w:ascii="Times New Roman" w:hAnsi="Times New Roman"/>
        </w:rPr>
        <w:t>1. Sachverhalt: Gründung Küchenkönig Polska Sp. z o.o.</w:t>
      </w:r>
    </w:p>
    <w:p>
      <w:pPr>
        <w:jc w:val="left"/>
      </w:pPr>
      <w:r>
        <w:t>Heinrich-Eberhard Geisen hat in seiner Funktion als Geschäftsführer der Küchenkönig Verwaltungs-GmbH (Komplementärin) am 12. März 2024 in Warschau die Küchenkönig Polska Sp. z o.o. (polnische GmbH-Entsprechung) gegründet. Die Gesellschaft sollte als Vertriebsniederlassung und Showroom für den polnischen Markt fungieren. Folgende Handlungen wurden ohne vorherigen Gesellschafterbeschluss der KG vorgenommen: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Handlung</w:t>
            </w:r>
          </w:p>
        </w:tc>
        <w:tc>
          <w:tcPr>
            <w:tcW w:type="dxa" w:w="3024"/>
          </w:tcPr>
          <w:p>
            <w:r>
              <w:rPr>
                <w:rFonts w:ascii="Times New Roman" w:hAnsi="Times New Roman"/>
                <w:b/>
                <w:sz w:val="20"/>
              </w:rPr>
              <w:t>Datum</w:t>
            </w:r>
          </w:p>
        </w:tc>
        <w:tc>
          <w:tcPr>
            <w:tcW w:type="dxa" w:w="3024"/>
          </w:tcPr>
          <w:p>
            <w:r>
              <w:rPr>
                <w:rFonts w:ascii="Times New Roman" w:hAnsi="Times New Roman"/>
                <w:b/>
                <w:sz w:val="20"/>
              </w:rPr>
              <w:t>Betrag (EUR)</w:t>
            </w:r>
          </w:p>
        </w:tc>
      </w:tr>
      <w:tr>
        <w:tc>
          <w:tcPr>
            <w:tcW w:type="dxa" w:w="3024"/>
          </w:tcPr>
          <w:p>
            <w:r>
              <w:rPr>
                <w:rFonts w:ascii="Times New Roman" w:hAnsi="Times New Roman"/>
                <w:sz w:val="20"/>
              </w:rPr>
              <w:t>Stammkapital Polska (100 % Tochter)</w:t>
            </w:r>
          </w:p>
        </w:tc>
        <w:tc>
          <w:tcPr>
            <w:tcW w:type="dxa" w:w="3024"/>
          </w:tcPr>
          <w:p>
            <w:r>
              <w:rPr>
                <w:rFonts w:ascii="Times New Roman" w:hAnsi="Times New Roman"/>
                <w:sz w:val="20"/>
              </w:rPr>
              <w:t>12.03.2024</w:t>
            </w:r>
          </w:p>
        </w:tc>
        <w:tc>
          <w:tcPr>
            <w:tcW w:type="dxa" w:w="3024"/>
          </w:tcPr>
          <w:p>
            <w:r>
              <w:rPr>
                <w:rFonts w:ascii="Times New Roman" w:hAnsi="Times New Roman"/>
                <w:sz w:val="20"/>
              </w:rPr>
              <w:t>50.000</w:t>
            </w:r>
          </w:p>
        </w:tc>
      </w:tr>
      <w:tr>
        <w:tc>
          <w:tcPr>
            <w:tcW w:type="dxa" w:w="3024"/>
          </w:tcPr>
          <w:p>
            <w:r>
              <w:rPr>
                <w:rFonts w:ascii="Times New Roman" w:hAnsi="Times New Roman"/>
                <w:sz w:val="20"/>
              </w:rPr>
              <w:t>Mietkaution und Erstausstattung Showroom Warschau</w:t>
            </w:r>
          </w:p>
        </w:tc>
        <w:tc>
          <w:tcPr>
            <w:tcW w:type="dxa" w:w="3024"/>
          </w:tcPr>
          <w:p>
            <w:r>
              <w:rPr>
                <w:rFonts w:ascii="Times New Roman" w:hAnsi="Times New Roman"/>
                <w:sz w:val="20"/>
              </w:rPr>
              <w:t>April 2024</w:t>
            </w:r>
          </w:p>
        </w:tc>
        <w:tc>
          <w:tcPr>
            <w:tcW w:type="dxa" w:w="3024"/>
          </w:tcPr>
          <w:p>
            <w:r>
              <w:rPr>
                <w:rFonts w:ascii="Times New Roman" w:hAnsi="Times New Roman"/>
                <w:sz w:val="20"/>
              </w:rPr>
              <w:t>85.000</w:t>
            </w:r>
          </w:p>
        </w:tc>
      </w:tr>
      <w:tr>
        <w:tc>
          <w:tcPr>
            <w:tcW w:type="dxa" w:w="3024"/>
          </w:tcPr>
          <w:p>
            <w:r>
              <w:rPr>
                <w:rFonts w:ascii="Times New Roman" w:hAnsi="Times New Roman"/>
                <w:sz w:val="20"/>
              </w:rPr>
              <w:t>Gehälter lokale Mitarbeiter (6 Personen, April–Dez. 2024)</w:t>
            </w:r>
          </w:p>
        </w:tc>
        <w:tc>
          <w:tcPr>
            <w:tcW w:type="dxa" w:w="3024"/>
          </w:tcPr>
          <w:p>
            <w:r>
              <w:rPr>
                <w:rFonts w:ascii="Times New Roman" w:hAnsi="Times New Roman"/>
                <w:sz w:val="20"/>
              </w:rPr>
              <w:t>2024</w:t>
            </w:r>
          </w:p>
        </w:tc>
        <w:tc>
          <w:tcPr>
            <w:tcW w:type="dxa" w:w="3024"/>
          </w:tcPr>
          <w:p>
            <w:r>
              <w:rPr>
                <w:rFonts w:ascii="Times New Roman" w:hAnsi="Times New Roman"/>
                <w:sz w:val="20"/>
              </w:rPr>
              <w:t>210.000</w:t>
            </w:r>
          </w:p>
        </w:tc>
      </w:tr>
      <w:tr>
        <w:tc>
          <w:tcPr>
            <w:tcW w:type="dxa" w:w="3024"/>
          </w:tcPr>
          <w:p>
            <w:r>
              <w:rPr>
                <w:rFonts w:ascii="Times New Roman" w:hAnsi="Times New Roman"/>
                <w:sz w:val="20"/>
              </w:rPr>
              <w:t>Marketingkosten Polen 2024</w:t>
            </w:r>
          </w:p>
        </w:tc>
        <w:tc>
          <w:tcPr>
            <w:tcW w:type="dxa" w:w="3024"/>
          </w:tcPr>
          <w:p>
            <w:r>
              <w:rPr>
                <w:rFonts w:ascii="Times New Roman" w:hAnsi="Times New Roman"/>
                <w:sz w:val="20"/>
              </w:rPr>
              <w:t>2024</w:t>
            </w:r>
          </w:p>
        </w:tc>
        <w:tc>
          <w:tcPr>
            <w:tcW w:type="dxa" w:w="3024"/>
          </w:tcPr>
          <w:p>
            <w:r>
              <w:rPr>
                <w:rFonts w:ascii="Times New Roman" w:hAnsi="Times New Roman"/>
                <w:sz w:val="20"/>
              </w:rPr>
              <w:t>75.000</w:t>
            </w:r>
          </w:p>
        </w:tc>
      </w:tr>
      <w:tr>
        <w:tc>
          <w:tcPr>
            <w:tcW w:type="dxa" w:w="3024"/>
          </w:tcPr>
          <w:p>
            <w:r>
              <w:rPr>
                <w:rFonts w:ascii="Times New Roman" w:hAnsi="Times New Roman"/>
                <w:sz w:val="20"/>
              </w:rPr>
              <w:t>Lieferfahrzeug und Werkzeugausstattung</w:t>
            </w:r>
          </w:p>
        </w:tc>
        <w:tc>
          <w:tcPr>
            <w:tcW w:type="dxa" w:w="3024"/>
          </w:tcPr>
          <w:p>
            <w:r>
              <w:rPr>
                <w:rFonts w:ascii="Times New Roman" w:hAnsi="Times New Roman"/>
                <w:sz w:val="20"/>
              </w:rPr>
              <w:t>Mai 2024</w:t>
            </w:r>
          </w:p>
        </w:tc>
        <w:tc>
          <w:tcPr>
            <w:tcW w:type="dxa" w:w="3024"/>
          </w:tcPr>
          <w:p>
            <w:r>
              <w:rPr>
                <w:rFonts w:ascii="Times New Roman" w:hAnsi="Times New Roman"/>
                <w:sz w:val="20"/>
              </w:rPr>
              <w:t>60.000</w:t>
            </w:r>
          </w:p>
        </w:tc>
      </w:tr>
      <w:tr>
        <w:tc>
          <w:tcPr>
            <w:tcW w:type="dxa" w:w="3024"/>
          </w:tcPr>
          <w:p>
            <w:r>
              <w:rPr>
                <w:rFonts w:ascii="Times New Roman" w:hAnsi="Times New Roman"/>
                <w:b/>
                <w:sz w:val="20"/>
              </w:rPr>
              <w:t>Gesamtinvestition bis Ende 2024</w:t>
            </w:r>
          </w:p>
        </w:tc>
        <w:tc>
          <w:tcPr>
            <w:tcW w:type="dxa" w:w="3024"/>
          </w:tcPr>
          <w:p/>
        </w:tc>
        <w:tc>
          <w:tcPr>
            <w:tcW w:type="dxa" w:w="3024"/>
          </w:tcPr>
          <w:p>
            <w:r>
              <w:rPr>
                <w:rFonts w:ascii="Times New Roman" w:hAnsi="Times New Roman"/>
                <w:b/>
                <w:sz w:val="20"/>
              </w:rPr>
              <w:t>480.000</w:t>
            </w:r>
          </w:p>
        </w:tc>
      </w:tr>
    </w:tbl>
    <w:p>
      <w:pPr>
        <w:jc w:val="left"/>
      </w:pPr>
      <w:r>
        <w:t>Die Polska hat im Jahr 2024 einen Umsatz von 38.000 EUR erzielt (16 gelieferte Küchen, durchschnittlicher Auftragswert 2.375 EUR — weit unter der Premiumpositionierung des Stammhauses). Der Betrieb der Polska wurde im Februar 2026 eingestellt. Die gesamte Investition ist als Verlust abzuschreiben.</w:t>
      </w:r>
    </w:p>
    <w:p/>
    <w:p>
      <w:pPr>
        <w:pStyle w:val="Heading2"/>
      </w:pPr>
      <w:r>
        <w:rPr>
          <w:rFonts w:ascii="Times New Roman" w:hAnsi="Times New Roman"/>
        </w:rPr>
        <w:t>2. Gesellschaftsvertragliche Kompetenzordnung</w:t>
      </w:r>
    </w:p>
    <w:p>
      <w:pPr>
        <w:jc w:val="left"/>
      </w:pPr>
      <w:r>
        <w:t>§ 8 des Gesellschaftsvertrages der Küchenkönig Manufaktur GmbH &amp; Co. KG regelt die Zustimmungsvorbehalte:</w:t>
      </w:r>
    </w:p>
    <w:p>
      <w:pPr>
        <w:ind w:left="567"/>
      </w:pPr>
      <w:r>
        <w:rPr>
          <w:i/>
        </w:rPr>
        <w:t>„Abs. 3: Für folgende Maßnahmen bedarf der Geschäftsführer der vorherigen Zustimmung der Gesellschafterversammlung: [...] c) Gründung oder Beteiligung an anderen Unternehmen, wenn die Investition 50.000 EUR oder die Beteiligungsquote 25 % übersteigt; d) Investitionen außerhalb des Bundesgebietes."</w:t>
      </w:r>
    </w:p>
    <w:p>
      <w:pPr>
        <w:jc w:val="left"/>
      </w:pPr>
      <w:r>
        <w:t>Beide Tatbestände (lit. c und d) sind erfüllt. Heinrich-Eberhard Geisen hat § 8 Abs. 3 GV bewusst umgangen, indem er weder eine GV einberufen noch die Mitgesellschafter informiert hat. Der erste Hinweis auf die Polska erreichte Stefan Geisen durch einen zufälligen Kontakt mit einem polnischen Holzlieferanten im Juni 2024.</w:t>
      </w:r>
    </w:p>
    <w:p/>
    <w:p>
      <w:pPr>
        <w:pStyle w:val="Heading2"/>
      </w:pPr>
      <w:r>
        <w:rPr>
          <w:rFonts w:ascii="Times New Roman" w:hAnsi="Times New Roman"/>
        </w:rPr>
        <w:t>3. Haftungsvoraussetzungen § 43 GmbHG</w:t>
      </w:r>
    </w:p>
    <w:p>
      <w:pPr>
        <w:jc w:val="left"/>
      </w:pPr>
      <w:r>
        <w:t>§ 43 GmbHG verpflichtet den Geschäftsführer zur Sorgfalt eines ordentlichen Geschäftsmannes. Eine Verletzung begründet Schadensersatzpflicht gegenüber der Gesellschaft.</w:t>
      </w:r>
    </w:p>
    <w:p>
      <w:pPr>
        <w:pStyle w:val="Heading3"/>
      </w:pPr>
      <w:r>
        <w:rPr>
          <w:rFonts w:ascii="Times New Roman" w:hAnsi="Times New Roman"/>
        </w:rPr>
        <w:t>3.1 Pflichtverletzung</w:t>
      </w:r>
    </w:p>
    <w:p>
      <w:pPr>
        <w:jc w:val="left"/>
      </w:pPr>
      <w:r>
        <w:t>Die Pflichtverletzung ist unstreitig:</w:t>
      </w:r>
    </w:p>
    <w:p>
      <w:pPr>
        <w:pStyle w:val="ListBullet"/>
      </w:pPr>
      <w:r>
        <w:t>Verstoß gegen § 8 Abs. 3 lit. c und d GV (kein Gesellschafterbeschluss)</w:t>
      </w:r>
    </w:p>
    <w:p>
      <w:pPr>
        <w:pStyle w:val="ListBullet"/>
      </w:pPr>
      <w:r>
        <w:t>Verstoß gegen die allgemeine Treuepflicht des Geschäftsführers</w:t>
      </w:r>
    </w:p>
    <w:p>
      <w:pPr>
        <w:pStyle w:val="ListBullet"/>
      </w:pPr>
      <w:r>
        <w:t>Unterlassen der Risikoanalyse vor Markteintritt Polen (keine Machbarkeitsstudie, keine Marktforschung)</w:t>
      </w:r>
    </w:p>
    <w:p>
      <w:pPr>
        <w:pStyle w:val="ListBullet"/>
      </w:pPr>
      <w:r>
        <w:t>Keine Berichterstattung an die Gesellschafter trotz früher erkennbarer Verluste (ab Q3 2024)</w:t>
      </w:r>
    </w:p>
    <w:p>
      <w:pPr>
        <w:jc w:val="left"/>
      </w:pPr>
      <w:r>
        <w:t>Die Business Judgment Rule (§ 43 Abs. 1 GmbHG i.V.m. § 93 Abs. 1 S. 2 AktG analog) greift nicht, da die Entscheidung nicht „auf Basis angemessener Information" getroffen wurde und zudem gegen den expliziten Zustimmungsvorbehalt des Gesellschaftsvertrages verstieß (BGH, Urt. v. 04.11.2002, II ZR 224/00; BGH, Urt. v. 21.04.1997, II ZR 175/95).</w:t>
      </w:r>
    </w:p>
    <w:p>
      <w:pPr>
        <w:pStyle w:val="Heading3"/>
      </w:pPr>
      <w:r>
        <w:rPr>
          <w:rFonts w:ascii="Times New Roman" w:hAnsi="Times New Roman"/>
        </w:rPr>
        <w:t>3.2 Schaden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Schadensposition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Gesamtinvestition Polska</w:t>
            </w:r>
          </w:p>
        </w:tc>
        <w:tc>
          <w:tcPr>
            <w:tcW w:type="dxa" w:w="4536"/>
          </w:tcPr>
          <w:p>
            <w:r>
              <w:rPr>
                <w:rFonts w:ascii="Times New Roman" w:hAnsi="Times New Roman"/>
                <w:sz w:val="20"/>
              </w:rPr>
              <w:t>480.000</w:t>
            </w:r>
          </w:p>
        </w:tc>
      </w:tr>
      <w:tr>
        <w:tc>
          <w:tcPr>
            <w:tcW w:type="dxa" w:w="4536"/>
          </w:tcPr>
          <w:p>
            <w:r>
              <w:rPr>
                <w:rFonts w:ascii="Times New Roman" w:hAnsi="Times New Roman"/>
                <w:sz w:val="20"/>
              </w:rPr>
              <w:t>Abzüglich Umsatz 2024 (38.000) und Liquidationserlöse (ca. 12.000)</w:t>
            </w:r>
          </w:p>
        </w:tc>
        <w:tc>
          <w:tcPr>
            <w:tcW w:type="dxa" w:w="4536"/>
          </w:tcPr>
          <w:p>
            <w:r>
              <w:rPr>
                <w:rFonts w:ascii="Times New Roman" w:hAnsi="Times New Roman"/>
                <w:sz w:val="20"/>
              </w:rPr>
              <w:t>−50.000</w:t>
            </w:r>
          </w:p>
        </w:tc>
      </w:tr>
      <w:tr>
        <w:tc>
          <w:tcPr>
            <w:tcW w:type="dxa" w:w="4536"/>
          </w:tcPr>
          <w:p>
            <w:r>
              <w:rPr>
                <w:rFonts w:ascii="Times New Roman" w:hAnsi="Times New Roman"/>
                <w:b/>
                <w:sz w:val="20"/>
              </w:rPr>
              <w:t>Nettoverlust (Schaden der Gesellschaft)</w:t>
            </w:r>
          </w:p>
        </w:tc>
        <w:tc>
          <w:tcPr>
            <w:tcW w:type="dxa" w:w="4536"/>
          </w:tcPr>
          <w:p>
            <w:r>
              <w:rPr>
                <w:rFonts w:ascii="Times New Roman" w:hAnsi="Times New Roman"/>
                <w:b/>
                <w:sz w:val="20"/>
              </w:rPr>
              <w:t>430.000</w:t>
            </w:r>
          </w:p>
        </w:tc>
      </w:tr>
    </w:tbl>
    <w:p>
      <w:pPr>
        <w:jc w:val="left"/>
      </w:pPr>
      <w:r>
        <w:t>Entgangene Gewinne durch Bindung von Managementkapazitäten und Kundenbeziehungen sind gesondert zu beziffern; vorläufig geschätzte Opportunitätskosten: 80.000 EUR. Gesamtschaden: ca. 510.000 EUR.</w:t>
      </w:r>
    </w:p>
    <w:p>
      <w:pPr>
        <w:pStyle w:val="Heading3"/>
      </w:pPr>
      <w:r>
        <w:rPr>
          <w:rFonts w:ascii="Times New Roman" w:hAnsi="Times New Roman"/>
        </w:rPr>
        <w:t>3.3 Kausalität und Verschulden</w:t>
      </w:r>
    </w:p>
    <w:p>
      <w:pPr>
        <w:jc w:val="left"/>
      </w:pPr>
      <w:r>
        <w:t>Zwischen der Pflichtverletzung und dem Schaden besteht unmittelbarer Kausalzusammenhang. Verschulden (Vorsatz oder Fahrlässigkeit): Es liegen starke Indizien für zumindest grobe Fahrlässigkeit vor; ein vorsätzliches Handeln zum Nachteil der Gesellschaft (z.B. zur Stärkung der eigenen Position in einem zukünftigen Konflikt) kann nicht ausgeschlossen werden.</w:t>
      </w:r>
    </w:p>
    <w:p>
      <w:pPr>
        <w:pStyle w:val="Heading3"/>
      </w:pPr>
      <w:r>
        <w:rPr>
          <w:rFonts w:ascii="Times New Roman" w:hAnsi="Times New Roman"/>
        </w:rPr>
        <w:t>3.4 Verjährung</w:t>
      </w:r>
    </w:p>
    <w:p>
      <w:pPr>
        <w:jc w:val="left"/>
      </w:pPr>
      <w:r>
        <w:t>§ 43 Abs. 4 GmbHG: Ansprüche verjähren in 5 Jahren ab Entstehung (= Zeitpunkt der schädigenden Handlung). Die Gründung der Polska erfolgte am 12.03.2024; die Verjährungsfrist läuft damit bis 12.03.2029. Ausreichend Zeit für eine Klageerhebung nach Abschluss des GV-Streits.</w:t>
      </w:r>
    </w:p>
    <w:p/>
    <w:p>
      <w:pPr>
        <w:pStyle w:val="Heading2"/>
      </w:pPr>
      <w:r>
        <w:rPr>
          <w:rFonts w:ascii="Times New Roman" w:hAnsi="Times New Roman"/>
        </w:rPr>
        <w:t>4. Interessenkonflikt und Haftungsklage-Kompetenz</w:t>
      </w:r>
    </w:p>
    <w:p>
      <w:pPr>
        <w:jc w:val="left"/>
      </w:pPr>
      <w:r>
        <w:t>Wichtiger Hinweis: Der Haftungsanspruch der Gesellschaft gegen ihren Geschäftsführer steht grundsätzlich der Gesellschaft zu, vertreten durch ihre Gesellschafter. Da Heinrich-Eberhard Geisen selbst als GF der Komplementär-GmbH die Gesellschaft nach außen vertritt, kann er die Gesellschaft nicht gegen sich selbst klagen. Für eine Haftungsklage müssen daher die Kommanditisten als Gesellschafter der KG einen besonderen Vertreter bestellen oder die Gesellschaft muss von einem neu bestellten Vertreter vertreten werden.</w:t>
      </w:r>
    </w:p>
    <w:p>
      <w:pPr>
        <w:jc w:val="left"/>
      </w:pPr>
      <w:r>
        <w:rPr>
          <w:b/>
        </w:rPr>
        <w:t>Lösung:</w:t>
      </w:r>
      <w:r>
        <w:t xml:space="preserve"> Cornelia Geisen-Wetterhof und Stefan Geisen können als Kommanditisten in der Gesellschafterversammlung einen Sondervertreter für die Haftungsklage bestellen (§ 46 Nr. 8 GmbHG analog; BGH NJW 2008, 1594). Die Kanzlei DWSP schlägt vor, RA Thomas Hegelmaier (Hannover, neutral) als Sondervertreter zu bestellen.</w:t>
      </w:r>
    </w:p>
    <w:p/>
    <w:p>
      <w:pPr>
        <w:pStyle w:val="Heading2"/>
      </w:pPr>
      <w:r>
        <w:rPr>
          <w:rFonts w:ascii="Times New Roman" w:hAnsi="Times New Roman"/>
        </w:rPr>
        <w:t>5. Nächste Schritte</w:t>
      </w:r>
    </w:p>
    <w:p>
      <w:pPr>
        <w:pStyle w:val="ListNumber"/>
      </w:pPr>
      <w:r>
        <w:t>Sondervertreter-Beschluss in außerordentlicher GV (ohne Wittmann Holding, da diese kein Interesse an der Klage hat — Ausnahme: Schadensersatz käme auch ihr zugute)</w:t>
      </w:r>
    </w:p>
    <w:p>
      <w:pPr>
        <w:pStyle w:val="ListNumber"/>
      </w:pPr>
      <w:r>
        <w:t>Vollständige Buchhaltungs-Dokumentation zur Polska anfordern</w:t>
      </w:r>
    </w:p>
    <w:p>
      <w:pPr>
        <w:pStyle w:val="ListNumber"/>
      </w:pPr>
      <w:r>
        <w:t>Klageentwurf nach Abschluss des Squeeze-out-Verfahrens oder — bei Eilbedürftigkeit — parallel</w:t>
      </w:r>
    </w:p>
    <w:p/>
    <w:p>
      <w:pPr>
        <w:jc w:val="left"/>
      </w:pPr>
      <w:r>
        <w:rPr>
          <w:i/>
        </w:rPr>
        <w:t>Erstellt: 23.04.2026 — Prof. Dr. Wieland Drosselberg</w:t>
      </w:r>
    </w:p>
    <w:p>
      <w:pPr>
        <w:jc w:val="left"/>
      </w:pPr>
      <w:r>
        <w:rPr>
          <w:i/>
        </w:rPr>
        <w:t>Referenz: § 43 GmbHG (dejure.org/gesetze/GmbHG/43.html); BGH II ZR 224/00; BGH NJW 2008, 1594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