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Klageentwurf: Geschäftsführerhaftung gemäß § 43 GmbHG</w:t>
      </w:r>
    </w:p>
    <w:p>
      <w:pPr>
        <w:jc w:val="left"/>
      </w:pPr>
      <w:r>
        <w:rPr>
          <w:b/>
        </w:rPr>
        <w:t>Akte:</w:t>
      </w:r>
      <w:r>
        <w:t xml:space="preserve"> DWSP/2026/GR-4417</w:t>
      </w:r>
    </w:p>
    <w:p>
      <w:pPr>
        <w:jc w:val="left"/>
      </w:pPr>
      <w:r>
        <w:rPr>
          <w:b/>
        </w:rPr>
        <w:t>Erstellt:</w:t>
      </w:r>
      <w:r>
        <w:t xml:space="preserve"> 26.04.2026</w:t>
      </w:r>
    </w:p>
    <w:p>
      <w:pPr>
        <w:jc w:val="left"/>
      </w:pPr>
      <w:r>
        <w:rPr>
          <w:b/>
        </w:rPr>
        <w:t>Bearbeiter:</w:t>
      </w:r>
      <w:r>
        <w:t xml:space="preserve"> Prof. Dr. Wieland Drosselberg</w:t>
      </w:r>
    </w:p>
    <w:p/>
    <w:p>
      <w:pPr>
        <w:pStyle w:val="Heading2"/>
      </w:pPr>
      <w:r>
        <w:rPr>
          <w:rFonts w:ascii="Times New Roman" w:hAnsi="Times New Roman"/>
        </w:rPr>
        <w:t>1. Verfahrensdaten (geplant)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Gericht</w:t>
            </w:r>
          </w:p>
        </w:tc>
        <w:tc>
          <w:tcPr>
            <w:tcW w:type="dxa" w:w="4536"/>
          </w:tcPr>
          <w:p>
            <w:r>
              <w:rPr>
                <w:rFonts w:ascii="Times New Roman" w:hAnsi="Times New Roman"/>
                <w:sz w:val="20"/>
              </w:rPr>
              <w:t>Landgericht Paderborn (zuständig nach Gesellschaftssitz)</w:t>
            </w:r>
          </w:p>
        </w:tc>
      </w:tr>
      <w:tr>
        <w:tc>
          <w:tcPr>
            <w:tcW w:type="dxa" w:w="4536"/>
          </w:tcPr>
          <w:p>
            <w:r>
              <w:rPr>
                <w:rFonts w:ascii="Times New Roman" w:hAnsi="Times New Roman"/>
                <w:sz w:val="20"/>
              </w:rPr>
              <w:t>Klägerin</w:t>
            </w:r>
          </w:p>
        </w:tc>
        <w:tc>
          <w:tcPr>
            <w:tcW w:type="dxa" w:w="4536"/>
          </w:tcPr>
          <w:p>
            <w:r>
              <w:rPr>
                <w:rFonts w:ascii="Times New Roman" w:hAnsi="Times New Roman"/>
                <w:sz w:val="20"/>
              </w:rPr>
              <w:t>Küchenkönig Manufaktur GmbH &amp; Co. KG, vertreten durch Sondervertreter RA Thomas Hegelmaier</w:t>
            </w:r>
          </w:p>
        </w:tc>
      </w:tr>
      <w:tr>
        <w:tc>
          <w:tcPr>
            <w:tcW w:type="dxa" w:w="4536"/>
          </w:tcPr>
          <w:p>
            <w:r>
              <w:rPr>
                <w:rFonts w:ascii="Times New Roman" w:hAnsi="Times New Roman"/>
                <w:sz w:val="20"/>
              </w:rPr>
              <w:t>Beklagter</w:t>
            </w:r>
          </w:p>
        </w:tc>
        <w:tc>
          <w:tcPr>
            <w:tcW w:type="dxa" w:w="4536"/>
          </w:tcPr>
          <w:p>
            <w:r>
              <w:rPr>
                <w:rFonts w:ascii="Times New Roman" w:hAnsi="Times New Roman"/>
                <w:sz w:val="20"/>
              </w:rPr>
              <w:t>Heinrich-Eberhard Geisen, Sennelager Str. 88, 33104 Paderborn</w:t>
            </w:r>
          </w:p>
        </w:tc>
      </w:tr>
      <w:tr>
        <w:tc>
          <w:tcPr>
            <w:tcW w:type="dxa" w:w="4536"/>
          </w:tcPr>
          <w:p>
            <w:r>
              <w:rPr>
                <w:rFonts w:ascii="Times New Roman" w:hAnsi="Times New Roman"/>
                <w:sz w:val="20"/>
              </w:rPr>
              <w:t>Streitgegenstand</w:t>
            </w:r>
          </w:p>
        </w:tc>
        <w:tc>
          <w:tcPr>
            <w:tcW w:type="dxa" w:w="4536"/>
          </w:tcPr>
          <w:p>
            <w:r>
              <w:rPr>
                <w:rFonts w:ascii="Times New Roman" w:hAnsi="Times New Roman"/>
                <w:sz w:val="20"/>
              </w:rPr>
              <w:t>Schadensersatz gemäß § 43 Abs. 2 GmbHG analog (i.V.m. KG-Recht)</w:t>
            </w:r>
          </w:p>
        </w:tc>
      </w:tr>
      <w:tr>
        <w:tc>
          <w:tcPr>
            <w:tcW w:type="dxa" w:w="4536"/>
          </w:tcPr>
          <w:p>
            <w:r>
              <w:rPr>
                <w:rFonts w:ascii="Times New Roman" w:hAnsi="Times New Roman"/>
                <w:sz w:val="20"/>
              </w:rPr>
              <w:t>Streitwert</w:t>
            </w:r>
          </w:p>
        </w:tc>
        <w:tc>
          <w:tcPr>
            <w:tcW w:type="dxa" w:w="4536"/>
          </w:tcPr>
          <w:p>
            <w:r>
              <w:rPr>
                <w:rFonts w:ascii="Times New Roman" w:hAnsi="Times New Roman"/>
                <w:sz w:val="20"/>
              </w:rPr>
              <w:t>510.000 EUR (Nettoverlust 430.000 EUR + Opportunitätskosten 80.000 EUR)</w:t>
            </w:r>
          </w:p>
        </w:tc>
      </w:tr>
      <w:tr>
        <w:tc>
          <w:tcPr>
            <w:tcW w:type="dxa" w:w="4536"/>
          </w:tcPr>
          <w:p>
            <w:r>
              <w:rPr>
                <w:rFonts w:ascii="Times New Roman" w:hAnsi="Times New Roman"/>
                <w:sz w:val="20"/>
              </w:rPr>
              <w:t>Klageeinreichung</w:t>
            </w:r>
          </w:p>
        </w:tc>
        <w:tc>
          <w:tcPr>
            <w:tcW w:type="dxa" w:w="4536"/>
          </w:tcPr>
          <w:p>
            <w:r>
              <w:rPr>
                <w:rFonts w:ascii="Times New Roman" w:hAnsi="Times New Roman"/>
                <w:sz w:val="20"/>
              </w:rPr>
              <w:t>Geplant Q4 2026 (nach Abschluss Sondervertreterbestellung)</w:t>
            </w:r>
          </w:p>
        </w:tc>
      </w:tr>
    </w:tbl>
    <w:p/>
    <w:p>
      <w:pPr>
        <w:pStyle w:val="Heading2"/>
      </w:pPr>
      <w:r>
        <w:rPr>
          <w:rFonts w:ascii="Times New Roman" w:hAnsi="Times New Roman"/>
        </w:rPr>
        <w:t>2. Klageanträge (Entwurf)</w:t>
      </w:r>
    </w:p>
    <w:p>
      <w:pPr>
        <w:ind w:left="567"/>
      </w:pPr>
      <w:r>
        <w:rPr>
          <w:i/>
        </w:rPr>
        <w:t>„1. Der Beklagte wird verurteilt, an die Klägerin 430.000 EUR nebst Zinsen in Höhe von 5 Prozentpunkten über dem Basiszinssatz seit dem 01.01.2025 zu zahlen.</w:t>
      </w:r>
    </w:p>
    <w:p>
      <w:pPr>
        <w:ind w:left="567"/>
      </w:pPr>
    </w:p>
    <w:p>
      <w:pPr>
        <w:ind w:left="567"/>
      </w:pPr>
      <w:r>
        <w:rPr>
          <w:i/>
        </w:rPr>
        <w:t>2. Der Beklagte wird verurteilt, an die Klägerin weiteren Schadensersatz in Höhe von 80.000 EUR (entgangene Gewinne / Opportunitätskosten) nebst Zinsen in Höhe von 5 Prozentpunkten über dem Basiszinssatz seit Rechtshängigkeit zu zahlen.</w:t>
      </w:r>
    </w:p>
    <w:p>
      <w:pPr>
        <w:ind w:left="567"/>
      </w:pPr>
    </w:p>
    <w:p>
      <w:pPr>
        <w:ind w:left="567"/>
      </w:pPr>
      <w:r>
        <w:rPr>
          <w:i/>
        </w:rPr>
        <w:t>3. Die Kosten des Rechtsstreits trägt der Beklagte."</w:t>
      </w:r>
    </w:p>
    <w:p/>
    <w:p>
      <w:pPr>
        <w:pStyle w:val="Heading2"/>
      </w:pPr>
      <w:r>
        <w:rPr>
          <w:rFonts w:ascii="Times New Roman" w:hAnsi="Times New Roman"/>
        </w:rPr>
        <w:t>3. Klagebegründung (ausführlich)</w:t>
      </w:r>
    </w:p>
    <w:p>
      <w:pPr>
        <w:pStyle w:val="Heading3"/>
      </w:pPr>
      <w:r>
        <w:rPr>
          <w:rFonts w:ascii="Times New Roman" w:hAnsi="Times New Roman"/>
        </w:rPr>
        <w:t>3.1 Parteien und Sachverhaltshintergrund</w:t>
      </w:r>
    </w:p>
    <w:p>
      <w:pPr>
        <w:jc w:val="left"/>
      </w:pPr>
      <w:r>
        <w:t>Die Klägerin ist eine Küchenmaufaktur in der Rechtsform einer GmbH &amp; Co. KG mit Sitz in Paderborn-Sennelager. Der Beklagte ist Geschäftsführer der alleinigen Komplementärin (Küchenkönig Verwaltungs-GmbH, HRB 9241 AG Paderborn) und führt in dieser Eigenschaft die Geschäfte der Klägerin.</w:t>
      </w:r>
    </w:p>
    <w:p>
      <w:pPr>
        <w:pStyle w:val="Heading3"/>
      </w:pPr>
      <w:r>
        <w:rPr>
          <w:rFonts w:ascii="Times New Roman" w:hAnsi="Times New Roman"/>
        </w:rPr>
        <w:t>3.2 Pflichtwidriges Handeln</w:t>
      </w:r>
    </w:p>
    <w:p>
      <w:pPr>
        <w:jc w:val="left"/>
      </w:pPr>
      <w:r>
        <w:t>Am 12. März 2024 gründete der Beklagte ohne vorherigen Gesellschafterbeschluss die Küchenkönig Polska Sp. z o.o. in Warschau und tätigte dort im Laufe des Jahres 2024 Investitionen in Höhe von insgesamt 480.000 EUR aus dem Betriebsvermögen der Klägerin (Konto-Nr. ..., Hausbank Sparkasse Paderborn-Detmold).</w:t>
      </w:r>
    </w:p>
    <w:p>
      <w:pPr>
        <w:jc w:val="left"/>
      </w:pPr>
      <w:r>
        <w:t>§ 8 Abs. 3 lit. c und d des Gesellschaftsvertrages der Klägerin (Anlage K 1) verlangt für Beteiligungen ab 50.000 EUR und für Investitionen außerhalb des Bundesgebietes die vorherige Zustimmung der Gesellschafterversammlung. Eine solche Zustimmung wurde weder eingeholt noch auch nur angefragt. Der Beklagte hat dies in der Gesellschafterversammlung vom 22.09.2024 selbst eingeräumt (Protokoll Anlage K 2).</w:t>
      </w:r>
    </w:p>
    <w:p>
      <w:pPr>
        <w:jc w:val="left"/>
      </w:pPr>
      <w:r>
        <w:t>Die Entscheidung des Beklagten war auch aus damaliger Perspektive unvertretbar: Es lag kein Marktgutachten für Polen vor; die Finanzplanung beschränkte sich auf eine formlose Tischvorlage des Beklagten; die Break-even-Analyse ergab bei konservativer Schätzung eine Amortisationsdauer von 12 Jahren — obwohl der polnische Massivholzküchenmarkt im Premiumsegment 2024 rückläufig war (vgl. Branchenbericht MÖMA-Verband 2024, Anlage K 3).</w:t>
      </w:r>
    </w:p>
    <w:p>
      <w:pPr>
        <w:pStyle w:val="Heading3"/>
      </w:pPr>
      <w:r>
        <w:rPr>
          <w:rFonts w:ascii="Times New Roman" w:hAnsi="Times New Roman"/>
        </w:rPr>
        <w:t>3.3 Schadensberechnung</w:t>
      </w:r>
    </w:p>
    <w:p>
      <w:pPr>
        <w:jc w:val="left"/>
      </w:pPr>
      <w:r>
        <w:rPr>
          <w:b/>
        </w:rPr>
        <w:t>a) Direkter Verlust: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Stammkapital Polska</w:t>
            </w:r>
          </w:p>
        </w:tc>
        <w:tc>
          <w:tcPr>
            <w:tcW w:type="dxa" w:w="4536"/>
          </w:tcPr>
          <w:p>
            <w:r>
              <w:rPr>
                <w:rFonts w:ascii="Times New Roman" w:hAnsi="Times New Roman"/>
                <w:sz w:val="20"/>
              </w:rPr>
              <w:t>50.000 EUR</w:t>
            </w:r>
          </w:p>
        </w:tc>
      </w:tr>
      <w:tr>
        <w:tc>
          <w:tcPr>
            <w:tcW w:type="dxa" w:w="4536"/>
          </w:tcPr>
          <w:p>
            <w:r>
              <w:rPr>
                <w:rFonts w:ascii="Times New Roman" w:hAnsi="Times New Roman"/>
                <w:sz w:val="20"/>
              </w:rPr>
              <w:t>Miet- und Ausstattungskosten</w:t>
            </w:r>
          </w:p>
        </w:tc>
        <w:tc>
          <w:tcPr>
            <w:tcW w:type="dxa" w:w="4536"/>
          </w:tcPr>
          <w:p>
            <w:r>
              <w:rPr>
                <w:rFonts w:ascii="Times New Roman" w:hAnsi="Times New Roman"/>
                <w:sz w:val="20"/>
              </w:rPr>
              <w:t>85.000 EUR</w:t>
            </w:r>
          </w:p>
        </w:tc>
      </w:tr>
      <w:tr>
        <w:tc>
          <w:tcPr>
            <w:tcW w:type="dxa" w:w="4536"/>
          </w:tcPr>
          <w:p>
            <w:r>
              <w:rPr>
                <w:rFonts w:ascii="Times New Roman" w:hAnsi="Times New Roman"/>
                <w:sz w:val="20"/>
              </w:rPr>
              <w:t>Personalkosten Polen</w:t>
            </w:r>
          </w:p>
        </w:tc>
        <w:tc>
          <w:tcPr>
            <w:tcW w:type="dxa" w:w="4536"/>
          </w:tcPr>
          <w:p>
            <w:r>
              <w:rPr>
                <w:rFonts w:ascii="Times New Roman" w:hAnsi="Times New Roman"/>
                <w:sz w:val="20"/>
              </w:rPr>
              <w:t>210.000 EUR</w:t>
            </w:r>
          </w:p>
        </w:tc>
      </w:tr>
      <w:tr>
        <w:tc>
          <w:tcPr>
            <w:tcW w:type="dxa" w:w="4536"/>
          </w:tcPr>
          <w:p>
            <w:r>
              <w:rPr>
                <w:rFonts w:ascii="Times New Roman" w:hAnsi="Times New Roman"/>
                <w:sz w:val="20"/>
              </w:rPr>
              <w:t>Marketing</w:t>
            </w:r>
          </w:p>
        </w:tc>
        <w:tc>
          <w:tcPr>
            <w:tcW w:type="dxa" w:w="4536"/>
          </w:tcPr>
          <w:p>
            <w:r>
              <w:rPr>
                <w:rFonts w:ascii="Times New Roman" w:hAnsi="Times New Roman"/>
                <w:sz w:val="20"/>
              </w:rPr>
              <w:t>75.000 EUR</w:t>
            </w:r>
          </w:p>
        </w:tc>
      </w:tr>
      <w:tr>
        <w:tc>
          <w:tcPr>
            <w:tcW w:type="dxa" w:w="4536"/>
          </w:tcPr>
          <w:p>
            <w:r>
              <w:rPr>
                <w:rFonts w:ascii="Times New Roman" w:hAnsi="Times New Roman"/>
                <w:sz w:val="20"/>
              </w:rPr>
              <w:t>Fahrzeug und Werkzeug</w:t>
            </w:r>
          </w:p>
        </w:tc>
        <w:tc>
          <w:tcPr>
            <w:tcW w:type="dxa" w:w="4536"/>
          </w:tcPr>
          <w:p>
            <w:r>
              <w:rPr>
                <w:rFonts w:ascii="Times New Roman" w:hAnsi="Times New Roman"/>
                <w:sz w:val="20"/>
              </w:rPr>
              <w:t>60.000 EUR</w:t>
            </w:r>
          </w:p>
        </w:tc>
      </w:tr>
      <w:tr>
        <w:tc>
          <w:tcPr>
            <w:tcW w:type="dxa" w:w="4536"/>
          </w:tcPr>
          <w:p>
            <w:r>
              <w:rPr>
                <w:rFonts w:ascii="Times New Roman" w:hAnsi="Times New Roman"/>
                <w:sz w:val="20"/>
              </w:rPr>
              <w:t>Summe Investitionen</w:t>
            </w:r>
          </w:p>
        </w:tc>
        <w:tc>
          <w:tcPr>
            <w:tcW w:type="dxa" w:w="4536"/>
          </w:tcPr>
          <w:p>
            <w:r>
              <w:rPr>
                <w:rFonts w:ascii="Times New Roman" w:hAnsi="Times New Roman"/>
                <w:sz w:val="20"/>
              </w:rPr>
              <w:t>480.000 EUR</w:t>
            </w:r>
          </w:p>
        </w:tc>
      </w:tr>
      <w:tr>
        <w:tc>
          <w:tcPr>
            <w:tcW w:type="dxa" w:w="4536"/>
          </w:tcPr>
          <w:p>
            <w:r>
              <w:rPr>
                <w:rFonts w:ascii="Times New Roman" w:hAnsi="Times New Roman"/>
                <w:sz w:val="20"/>
              </w:rPr>
              <w:t>Abzüglich Erlöse 2024 (38.000 EUR) und Liquidationserlöse (12.000 EUR)</w:t>
            </w:r>
          </w:p>
        </w:tc>
        <w:tc>
          <w:tcPr>
            <w:tcW w:type="dxa" w:w="4536"/>
          </w:tcPr>
          <w:p>
            <w:r>
              <w:rPr>
                <w:rFonts w:ascii="Times New Roman" w:hAnsi="Times New Roman"/>
                <w:sz w:val="20"/>
              </w:rPr>
              <w:t>−50.000 EUR</w:t>
            </w:r>
          </w:p>
        </w:tc>
      </w:tr>
      <w:tr>
        <w:tc>
          <w:tcPr>
            <w:tcW w:type="dxa" w:w="4536"/>
          </w:tcPr>
          <w:p>
            <w:r>
              <w:rPr>
                <w:rFonts w:ascii="Times New Roman" w:hAnsi="Times New Roman"/>
                <w:b/>
                <w:sz w:val="20"/>
              </w:rPr>
              <w:t>Nettoverlust</w:t>
            </w:r>
          </w:p>
        </w:tc>
        <w:tc>
          <w:tcPr>
            <w:tcW w:type="dxa" w:w="4536"/>
          </w:tcPr>
          <w:p>
            <w:r>
              <w:rPr>
                <w:rFonts w:ascii="Times New Roman" w:hAnsi="Times New Roman"/>
                <w:b/>
                <w:sz w:val="20"/>
              </w:rPr>
              <w:t>430.000 EUR</w:t>
            </w:r>
          </w:p>
        </w:tc>
      </w:tr>
    </w:tbl>
    <w:p>
      <w:pPr>
        <w:jc w:val="left"/>
      </w:pPr>
      <w:r>
        <w:rPr>
          <w:b/>
        </w:rPr>
        <w:t>b) Mittelbare Verluste / Opportunitätskosten:</w:t>
      </w:r>
    </w:p>
    <w:p>
      <w:pPr>
        <w:jc w:val="left"/>
      </w:pPr>
      <w:r>
        <w:t>Der Beklagte war von März bis Oktober 2024 zu erheblichen Teilen mit der Polska beschäftigt. Gleichzeitig wurden Investitionen in die Erweiterung der Stammfertigung Sennelager (geplantes Investitionsvolumen 350.000 EUR, genehmigt durch GV Juli 2024) um 8 Monate verzögert. Der dadurch entgangene Umsatzzuwachs (konservativ geschätzt: 10 % von 22,8 Mio. EUR × 8/12 = ca. 1,52 Mio. EUR) mit einer EBIT-Marge von ca. 5,3 % ergibt entgangene EBIT von ca. 80.000 EUR.</w:t>
      </w:r>
    </w:p>
    <w:p>
      <w:pPr>
        <w:pStyle w:val="Heading3"/>
      </w:pPr>
      <w:r>
        <w:rPr>
          <w:rFonts w:ascii="Times New Roman" w:hAnsi="Times New Roman"/>
        </w:rPr>
        <w:t>3.4 Mitverschulden und Deckungsabzüge</w:t>
      </w:r>
    </w:p>
    <w:p>
      <w:pPr>
        <w:jc w:val="left"/>
      </w:pPr>
      <w:r>
        <w:t>Ein Mitverschulden der Klägerin (§ 254 BGB) besteht nicht: Die anderen Gesellschafter waren nicht informiert und konnten keine frühzeitigen Gegenmaßnahmen ergreifen.</w:t>
      </w:r>
    </w:p>
    <w:p>
      <w:pPr>
        <w:jc w:val="left"/>
      </w:pPr>
      <w:r>
        <w:t>D&amp;O-Versicherung: Zu prüfen, ob der Beklagte als GF der Komplementär-GmbH bei der AXA Deutschland AG D&amp;O-versichert ist. Im positiven Fall ist die Versicherung in den Prozess einzubeziehen (Streitverkündung).</w:t>
      </w:r>
    </w:p>
    <w:p>
      <w:pPr>
        <w:pStyle w:val="Heading3"/>
      </w:pPr>
      <w:r>
        <w:rPr>
          <w:rFonts w:ascii="Times New Roman" w:hAnsi="Times New Roman"/>
        </w:rPr>
        <w:t>3.5 Einwände des Beklagten (vorweggenommen)</w:t>
      </w:r>
    </w:p>
    <w:p>
      <w:pPr>
        <w:jc w:val="left"/>
      </w:pPr>
      <w:r>
        <w:rPr>
          <w:b/>
        </w:rPr>
        <w:t>Einwand 1: Nachträgliche Genehmigung durch GV 22.09.2024:</w:t>
      </w:r>
    </w:p>
    <w:p>
      <w:pPr>
        <w:jc w:val="left"/>
      </w:pPr>
      <w:r>
        <w:t>Die GV vom 22.09.2024 hat die Polska-Gründung ausdrücklich nicht genehmigt. Stefan Geisen und Cornelia Geisen-Wetterhof stimmten gegen eine nachträgliche Billigung. Wittmann enthielt sich. Ein Genehmigungsbeschluss kam nicht zustande.</w:t>
      </w:r>
    </w:p>
    <w:p>
      <w:pPr>
        <w:jc w:val="left"/>
      </w:pPr>
      <w:r>
        <w:rPr>
          <w:b/>
        </w:rPr>
        <w:t>Einwand 2: Unternehmerisches Ermessen (Business Judgment Rule):</w:t>
      </w:r>
    </w:p>
    <w:p>
      <w:pPr>
        <w:jc w:val="left"/>
      </w:pPr>
      <w:r>
        <w:t>Die Business Judgment Rule greift nicht, da die Entscheidung in Verletzung einer ausdrücklichen Gesellschaftsvertragsklausel (§ 8 Abs. 3) getroffen wurde. Eine pflichtwidrig getroffene Entscheidung kann nicht durch die Business Judgment Rule privilegiert werden (BGH II ZR 224/00).</w:t>
      </w:r>
    </w:p>
    <w:p>
      <w:pPr>
        <w:jc w:val="left"/>
      </w:pPr>
      <w:r>
        <w:rPr>
          <w:b/>
        </w:rPr>
        <w:t>Einwand 3: Höherer Gewalt / externer Marktfaktoren:</w:t>
      </w:r>
    </w:p>
    <w:p>
      <w:pPr>
        <w:jc w:val="left"/>
      </w:pPr>
      <w:r>
        <w:t>Selbst wenn der polnische Markt 2024 ungünstig war, ändert dies nichts an der Pflichtverletzung durch Nichteinholung der Zustimmung. Der Schaden wäre bei ordnungsgemäßem Verfahren — d.h. Ablehnung durch die Gesellschafterversammlung — nicht eingetreten.</w:t>
      </w:r>
    </w:p>
    <w:p/>
    <w:p>
      <w:pPr>
        <w:pStyle w:val="Heading2"/>
      </w:pPr>
      <w:r>
        <w:rPr>
          <w:rFonts w:ascii="Times New Roman" w:hAnsi="Times New Roman"/>
        </w:rPr>
        <w:t>4. Beweisangebote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Beweisthema</w:t>
            </w:r>
          </w:p>
        </w:tc>
        <w:tc>
          <w:tcPr>
            <w:tcW w:type="dxa" w:w="4536"/>
          </w:tcPr>
          <w:p>
            <w:r>
              <w:rPr>
                <w:rFonts w:ascii="Times New Roman" w:hAnsi="Times New Roman"/>
                <w:b/>
                <w:sz w:val="20"/>
              </w:rPr>
              <w:t>Beweismittel</w:t>
            </w:r>
          </w:p>
        </w:tc>
      </w:tr>
      <w:tr>
        <w:tc>
          <w:tcPr>
            <w:tcW w:type="dxa" w:w="4536"/>
          </w:tcPr>
          <w:p>
            <w:r>
              <w:rPr>
                <w:rFonts w:ascii="Times New Roman" w:hAnsi="Times New Roman"/>
                <w:sz w:val="20"/>
              </w:rPr>
              <w:t>Gesellschaftsvertragsklausel § 8 Abs. 3</w:t>
            </w:r>
          </w:p>
        </w:tc>
        <w:tc>
          <w:tcPr>
            <w:tcW w:type="dxa" w:w="4536"/>
          </w:tcPr>
          <w:p>
            <w:r>
              <w:rPr>
                <w:rFonts w:ascii="Times New Roman" w:hAnsi="Times New Roman"/>
                <w:sz w:val="20"/>
              </w:rPr>
              <w:t>GV-Urkunde (Anlage K 1)</w:t>
            </w:r>
          </w:p>
        </w:tc>
      </w:tr>
      <w:tr>
        <w:tc>
          <w:tcPr>
            <w:tcW w:type="dxa" w:w="4536"/>
          </w:tcPr>
          <w:p>
            <w:r>
              <w:rPr>
                <w:rFonts w:ascii="Times New Roman" w:hAnsi="Times New Roman"/>
                <w:sz w:val="20"/>
              </w:rPr>
              <w:t>Einräumung durch Beklagten in GV 22.09.2024</w:t>
            </w:r>
          </w:p>
        </w:tc>
        <w:tc>
          <w:tcPr>
            <w:tcW w:type="dxa" w:w="4536"/>
          </w:tcPr>
          <w:p>
            <w:r>
              <w:rPr>
                <w:rFonts w:ascii="Times New Roman" w:hAnsi="Times New Roman"/>
                <w:sz w:val="20"/>
              </w:rPr>
              <w:t>Protokoll GV 22.09.2024 (Anlage K 2)</w:t>
            </w:r>
          </w:p>
        </w:tc>
      </w:tr>
      <w:tr>
        <w:tc>
          <w:tcPr>
            <w:tcW w:type="dxa" w:w="4536"/>
          </w:tcPr>
          <w:p>
            <w:r>
              <w:rPr>
                <w:rFonts w:ascii="Times New Roman" w:hAnsi="Times New Roman"/>
                <w:sz w:val="20"/>
              </w:rPr>
              <w:t>Marktlage Polen 2024</w:t>
            </w:r>
          </w:p>
        </w:tc>
        <w:tc>
          <w:tcPr>
            <w:tcW w:type="dxa" w:w="4536"/>
          </w:tcPr>
          <w:p>
            <w:r>
              <w:rPr>
                <w:rFonts w:ascii="Times New Roman" w:hAnsi="Times New Roman"/>
                <w:sz w:val="20"/>
              </w:rPr>
              <w:t>MÖMA-Branchenbericht 2024 (Anlage K 3)</w:t>
            </w:r>
          </w:p>
        </w:tc>
      </w:tr>
      <w:tr>
        <w:tc>
          <w:tcPr>
            <w:tcW w:type="dxa" w:w="4536"/>
          </w:tcPr>
          <w:p>
            <w:r>
              <w:rPr>
                <w:rFonts w:ascii="Times New Roman" w:hAnsi="Times New Roman"/>
                <w:sz w:val="20"/>
              </w:rPr>
              <w:t>Kontobewegungen (Überweisungen nach Polen)</w:t>
            </w:r>
          </w:p>
        </w:tc>
        <w:tc>
          <w:tcPr>
            <w:tcW w:type="dxa" w:w="4536"/>
          </w:tcPr>
          <w:p>
            <w:r>
              <w:rPr>
                <w:rFonts w:ascii="Times New Roman" w:hAnsi="Times New Roman"/>
                <w:sz w:val="20"/>
              </w:rPr>
              <w:t>Kontoauszüge 2024 Sparkasse Paderborn (Anlage K 4)</w:t>
            </w:r>
          </w:p>
        </w:tc>
      </w:tr>
      <w:tr>
        <w:tc>
          <w:tcPr>
            <w:tcW w:type="dxa" w:w="4536"/>
          </w:tcPr>
          <w:p>
            <w:r>
              <w:rPr>
                <w:rFonts w:ascii="Times New Roman" w:hAnsi="Times New Roman"/>
                <w:sz w:val="20"/>
              </w:rPr>
              <w:t>Jahresabschluss Polska</w:t>
            </w:r>
          </w:p>
        </w:tc>
        <w:tc>
          <w:tcPr>
            <w:tcW w:type="dxa" w:w="4536"/>
          </w:tcPr>
          <w:p>
            <w:r>
              <w:rPr>
                <w:rFonts w:ascii="Times New Roman" w:hAnsi="Times New Roman"/>
                <w:sz w:val="20"/>
              </w:rPr>
              <w:t>Polska-Jahresabschluss 2024 (Anlage K 5)</w:t>
            </w:r>
          </w:p>
        </w:tc>
      </w:tr>
      <w:tr>
        <w:tc>
          <w:tcPr>
            <w:tcW w:type="dxa" w:w="4536"/>
          </w:tcPr>
          <w:p>
            <w:r>
              <w:rPr>
                <w:rFonts w:ascii="Times New Roman" w:hAnsi="Times New Roman"/>
                <w:sz w:val="20"/>
              </w:rPr>
              <w:t>Schaden (Buchverlust)</w:t>
            </w:r>
          </w:p>
        </w:tc>
        <w:tc>
          <w:tcPr>
            <w:tcW w:type="dxa" w:w="4536"/>
          </w:tcPr>
          <w:p>
            <w:r>
              <w:rPr>
                <w:rFonts w:ascii="Times New Roman" w:hAnsi="Times New Roman"/>
                <w:sz w:val="20"/>
              </w:rPr>
              <w:t>Jahresabschluss KG 2025 mit Abschreibungsposition (Anlage K 6)</w:t>
            </w:r>
          </w:p>
        </w:tc>
      </w:tr>
      <w:tr>
        <w:tc>
          <w:tcPr>
            <w:tcW w:type="dxa" w:w="4536"/>
          </w:tcPr>
          <w:p>
            <w:r>
              <w:rPr>
                <w:rFonts w:ascii="Times New Roman" w:hAnsi="Times New Roman"/>
                <w:sz w:val="20"/>
              </w:rPr>
              <w:t>Sachverständigengutachten</w:t>
            </w:r>
          </w:p>
        </w:tc>
        <w:tc>
          <w:tcPr>
            <w:tcW w:type="dxa" w:w="4536"/>
          </w:tcPr>
          <w:p>
            <w:r>
              <w:rPr>
                <w:rFonts w:ascii="Times New Roman" w:hAnsi="Times New Roman"/>
                <w:sz w:val="20"/>
              </w:rPr>
              <w:t>Beantragt für Opportunitätskosten</w:t>
            </w:r>
          </w:p>
        </w:tc>
      </w:tr>
    </w:tbl>
    <w:p/>
    <w:p>
      <w:pPr>
        <w:jc w:val="left"/>
      </w:pPr>
      <w:r>
        <w:rPr>
          <w:i/>
        </w:rPr>
        <w:t>Erstellt: 26.04.2026 — Prof. Dr. Wieland Drosselberg</w:t>
      </w:r>
    </w:p>
    <w:p>
      <w:pPr>
        <w:jc w:val="left"/>
      </w:pPr>
      <w:r>
        <w:rPr>
          <w:i/>
        </w:rPr>
        <w:t>Referenz: § 43 GmbHG (dejure.org/gesetze/GmbHG/43.html); BGH II ZR 224/00; § 254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