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Handelsregisterstreit: AG Paderborn HRA 4188 — Ablehnungsbeschluss</w:t>
      </w:r>
    </w:p>
    <w:p>
      <w:pPr>
        <w:jc w:val="left"/>
      </w:pPr>
      <w:r>
        <w:rPr>
          <w:b/>
        </w:rPr>
        <w:t>Akte:</w:t>
      </w:r>
      <w:r>
        <w:t xml:space="preserve"> DWSP/2026/GR-4417</w:t>
      </w:r>
    </w:p>
    <w:p>
      <w:pPr>
        <w:jc w:val="left"/>
      </w:pPr>
      <w:r>
        <w:rPr>
          <w:b/>
        </w:rPr>
        <w:t>Erstellt:</w:t>
      </w:r>
      <w:r>
        <w:t xml:space="preserve"> 27.04.2026</w:t>
      </w:r>
    </w:p>
    <w:p>
      <w:pPr>
        <w:jc w:val="left"/>
      </w:pPr>
      <w:r>
        <w:rPr>
          <w:b/>
        </w:rPr>
        <w:t>Bearbeiter:</w:t>
      </w:r>
      <w:r>
        <w:t xml:space="preserve"> Ass. iur. Miriam Sandtenbruch</w:t>
      </w:r>
    </w:p>
    <w:p/>
    <w:p>
      <w:pPr>
        <w:pStyle w:val="Heading2"/>
      </w:pPr>
      <w:r>
        <w:rPr>
          <w:rFonts w:ascii="Times New Roman" w:hAnsi="Times New Roman"/>
        </w:rPr>
        <w:t>1. Hintergrund: Umstrukturierungsplan</w:t>
      </w:r>
    </w:p>
    <w:p>
      <w:pPr>
        <w:jc w:val="left"/>
      </w:pPr>
      <w:r>
        <w:t>Parallel zum Gesellschafterstreit hatte die Wittmann Family Holding KG im Herbst 2025 den Plan verfolgt, die Küchenkönig Manufaktur GmbH &amp; Co. KG im Wege des Formwechsels (§§ 190 ff. UmwG) in eine Investmentgesellschaft in der Rechtsform einer Aktiengesellschaft (Investment-AG mit variablem Kapital gemäß § 109 KAGB) umzustrukturieren. Ziel war es, einen externen Kapitalzufluss von 15–20 Mio. EUR durch institutionelle Investoren zu ermöglichen und die bisherigen Kommanditanteile in Aktien zu überführen.</w:t>
      </w:r>
    </w:p>
    <w:p>
      <w:pPr>
        <w:jc w:val="left"/>
      </w:pPr>
      <w:r>
        <w:t>Am 18. Dezember 2025 fasste die Gesellschafterversammlung (Mehrheit: Wittmann Holding 30 % + Stefan Geisen 20 % = 50 % — streitig, ob ausreichende Mehrheit) einen Beschluss über den Formwechsel. Die Geisen-Seite (Heinrich-Eberhard 26 % + Cornelia 24 % = 50 %) stimmte dagegen.</w:t>
      </w:r>
    </w:p>
    <w:p/>
    <w:p>
      <w:pPr>
        <w:pStyle w:val="Heading2"/>
      </w:pPr>
      <w:r>
        <w:rPr>
          <w:rFonts w:ascii="Times New Roman" w:hAnsi="Times New Roman"/>
        </w:rPr>
        <w:t>2. Ablehnungsbeschluss AG Paderborn</w:t>
      </w:r>
    </w:p>
    <w:p>
      <w:pPr>
        <w:jc w:val="left"/>
      </w:pPr>
      <w:r>
        <w:t>Das Amtsgericht Paderborn — Registergericht — hat den Eintragungsantrag mit Beschluss vom 07. März 2026 (Az. HRA 4188) aus folgenden Gründen abgelehnt:</w:t>
      </w:r>
    </w:p>
    <w:p>
      <w:pPr>
        <w:pStyle w:val="Heading3"/>
      </w:pPr>
      <w:r>
        <w:rPr>
          <w:rFonts w:ascii="Times New Roman" w:hAnsi="Times New Roman"/>
        </w:rPr>
        <w:t>2.1 Fehlende qualifizierte Mehrheit</w:t>
      </w:r>
    </w:p>
    <w:p>
      <w:pPr>
        <w:jc w:val="left"/>
      </w:pPr>
      <w:r>
        <w:t>§ 214 Abs. 1 UmwG verlangt für den Formwechselbeschluss einer KG in eine AG eine Mehrheit von 75 % der Stimmen der Gesellschafter. Eine Mehrheit von 50 % (selbst wenn das Stimmenverhältnis zu Gunsten der Wittmann-Koalition ausgelegt wird) genügt nicht. Das Registergericht hat diesen Mangel im Vorprüfungsverfahren (§ 378 FamFG) festgestellt und den Antrag abgelehnt.</w:t>
      </w:r>
    </w:p>
    <w:p>
      <w:pPr>
        <w:pStyle w:val="Heading3"/>
      </w:pPr>
      <w:r>
        <w:rPr>
          <w:rFonts w:ascii="Times New Roman" w:hAnsi="Times New Roman"/>
        </w:rPr>
        <w:t>2.2 Inhaltliche Mängel der Umwandlungsdokumentation</w:t>
      </w:r>
    </w:p>
    <w:p>
      <w:pPr>
        <w:jc w:val="left"/>
      </w:pPr>
      <w:r>
        <w:t>Das Registergericht hat zusätzlich beanstandet:</w:t>
      </w:r>
    </w:p>
    <w:p>
      <w:pPr>
        <w:pStyle w:val="ListBullet"/>
      </w:pPr>
      <w:r>
        <w:t>Der Umwandlungsbericht (§ 192 UmwG) fehlt oder ist unvollständig</w:t>
      </w:r>
    </w:p>
    <w:p>
      <w:pPr>
        <w:pStyle w:val="ListBullet"/>
      </w:pPr>
      <w:r>
        <w:t>Die Prüfung durch einen unabhängigen Umwandlungsprüfer (§ 194 UmwG) wurde nicht vorgelegt</w:t>
      </w:r>
    </w:p>
    <w:p>
      <w:pPr>
        <w:pStyle w:val="ListBullet"/>
      </w:pPr>
      <w:r>
        <w:t>Die Investment-AG nach § 109 KAGB erfordert eine Erlaubnis der BaFin; die Beantragung der BaFin-Erlaubnis ist nicht nachgewiesen</w:t>
      </w:r>
    </w:p>
    <w:p>
      <w:pPr>
        <w:pStyle w:val="Heading3"/>
      </w:pPr>
      <w:r>
        <w:rPr>
          <w:rFonts w:ascii="Times New Roman" w:hAnsi="Times New Roman"/>
        </w:rPr>
        <w:t>2.3 Personengesellschaftsspezifische Probleme</w:t>
      </w:r>
    </w:p>
    <w:p>
      <w:pPr>
        <w:jc w:val="left"/>
      </w:pPr>
      <w:r>
        <w:t>Bei einem Formwechsel einer KG in eine AG müssen gemäß § 228 UmwG alle persönlich haftenden Gesellschafter (hier: die Komplementär-GmbH) dem Formwechsel zustimmen. Die Komplementär-GmbH (vertreten durch GF Heinrich-Eberhard Geisen) hat dem Formwechsel in der GV vom 18.12.2025 ausdrücklich widersprochen. Damit fehlt es an der nach § 228 UmwG zwingend erforderlichen Zustimmung der Komplementärin.</w:t>
      </w:r>
    </w:p>
    <w:p/>
    <w:p>
      <w:pPr>
        <w:pStyle w:val="Heading2"/>
      </w:pPr>
      <w:r>
        <w:rPr>
          <w:rFonts w:ascii="Times New Roman" w:hAnsi="Times New Roman"/>
        </w:rPr>
        <w:t>3. Rechtslage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Mangel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Heilungsmöglichkeit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 75 %-Mehrheit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214 Abs. 1 UmwG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— neuer Gesellschafterbeschluss mit korrekter Mehrheit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Fehlender Umwandlungsbericht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192 UmwG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Nachreichung möglich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 Umwandlungsprüfung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194 UmwG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Nachreichung möglich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 Zustimmung Komplementärin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228 UmwG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— zwingend, kein Dispens möglich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 BaFin-Erlaubnis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109 KAGB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Möglich — aber Bearbeitungszeit 6–12 Monate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Der Formwechsel ist in der beantragten Form nicht möglich. Eine Investment-AG setzt voraus: BaFin-Erlaubnis, vollständige UmwG-Dokumentation, 75 %-Mehrheit und Zustimmung aller Komplementäre.</w:t>
      </w:r>
    </w:p>
    <w:p/>
    <w:p>
      <w:pPr>
        <w:pStyle w:val="Heading2"/>
      </w:pPr>
      <w:r>
        <w:rPr>
          <w:rFonts w:ascii="Times New Roman" w:hAnsi="Times New Roman"/>
        </w:rPr>
        <w:t>4. Beschwerde OLG Hamm (27 Wx 22/26)</w:t>
      </w:r>
    </w:p>
    <w:p>
      <w:pPr>
        <w:jc w:val="left"/>
      </w:pPr>
      <w:r>
        <w:t>Am 15. März 2026 hat die Kanzlei DWSP namens der Geisen-Familie und der Komplementär-GmbH Beschwerde gegen den Ablehnungsbeschluss des AG Paderborn eingelegt — obwohl dieser Beschluss formal zu ihren Gunsten erging. Der taktische Grund: Die Beschwerde soll die Frage klären lassen, ob und unter welchen Bedingungen ein Formwechsel überhaupt mit den vorhandenen Gesellschafterverhältnissen möglich wäre, und eine eindeutige OLG-Entscheidung herbeiführen, die die Position der Geisen-Familie stärkt.</w:t>
      </w:r>
    </w:p>
    <w:p>
      <w:pPr>
        <w:jc w:val="left"/>
      </w:pPr>
      <w:r>
        <w:rPr>
          <w:b/>
        </w:rPr>
        <w:t>Hinweis:</w:t>
      </w:r>
      <w:r>
        <w:t xml:space="preserve"> Tatsächlich hat die Wittmann Holding KG gegen den Ablehnungsbeschluss Beschwerde eingelegt. Die Kanzlei DWSP hat sich dem Beschwerdeverfahren als Beschwerdegegner angeschlossen. Das AZ lautet: OLG Hamm 27 Wx 22/26 (s. Aktenstück 14).</w:t>
      </w:r>
    </w:p>
    <w:p/>
    <w:p>
      <w:pPr>
        <w:pStyle w:val="Heading2"/>
      </w:pPr>
      <w:r>
        <w:rPr>
          <w:rFonts w:ascii="Times New Roman" w:hAnsi="Times New Roman"/>
        </w:rPr>
        <w:t>5. Auswirkungen auf den Squeeze-out-Streit</w:t>
      </w:r>
    </w:p>
    <w:p>
      <w:pPr>
        <w:jc w:val="left"/>
      </w:pPr>
      <w:r>
        <w:t>Der gescheiterte Formwechsel zeigt, dass die Wittmann Holding ohne die Zustimmung der Geisen-Seite fundamental wichtige Restrukturierungsmaßnahmen nicht durchsetzen kann. Dies stärkt die Verhandlungsposition der Geisen-Familie:</w:t>
      </w:r>
    </w:p>
    <w:p>
      <w:pPr>
        <w:pStyle w:val="ListBullet"/>
      </w:pPr>
      <w:r>
        <w:t>Die Wittmann Holding braucht die Kooperation der Geisen-Familie für jeden strategischen Schritt</w:t>
      </w:r>
    </w:p>
    <w:p>
      <w:pPr>
        <w:pStyle w:val="ListBullet"/>
      </w:pPr>
      <w:r>
        <w:t>Ein Squeeze-out (selbst wenn er rechtlich möglich wäre) würde die Minderheit entfernen, aber die Wittmann Holding allein ließe, ohne operationelle Kontrolle über das Unternehmen (GF bleibt Heinrich-Eberhard Geisen als Komplementär)</w:t>
      </w:r>
    </w:p>
    <w:p>
      <w:pPr>
        <w:pStyle w:val="ListBullet"/>
      </w:pPr>
      <w:r>
        <w:t>Das schafft eine natürliche Verhandlungsbasis</w:t>
      </w:r>
    </w:p>
    <w:p/>
    <w:p>
      <w:pPr>
        <w:jc w:val="left"/>
      </w:pPr>
      <w:r>
        <w:rPr>
          <w:i/>
        </w:rPr>
        <w:t>Erstellt: 27.04.2026 — Ass. iur. Miriam Sandtenbruch</w:t>
      </w:r>
    </w:p>
    <w:p>
      <w:pPr>
        <w:jc w:val="left"/>
      </w:pPr>
      <w:r>
        <w:rPr>
          <w:i/>
        </w:rPr>
        <w:t>Referenz: §§ 190 ff. UmwG (dejure.org/gesetze/UmwG/190.html); § 228 UmwG; § 109 KAGB; §§ 374 ff. FamFG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