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Beschwerde OLG Hamm 27 Wx 22/26: Registerbeschwerde und Beschwerdebegründung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28.04.2026</w:t>
      </w:r>
    </w:p>
    <w:p>
      <w:pPr>
        <w:jc w:val="left"/>
      </w:pPr>
      <w:r>
        <w:rPr>
          <w:b/>
        </w:rPr>
        <w:t>Bearbeiter:</w:t>
      </w:r>
      <w:r>
        <w:t xml:space="preserve"> Ass. iur. Miriam Sandtenbruch</w:t>
      </w:r>
    </w:p>
    <w:p/>
    <w:p>
      <w:pPr>
        <w:pStyle w:val="Heading2"/>
      </w:pPr>
      <w:r>
        <w:rPr>
          <w:rFonts w:ascii="Times New Roman" w:hAnsi="Times New Roman"/>
        </w:rP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Oberlandesgericht Hamm, 27. Zivilsenat (Registersachen)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 Wx 22/26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Beschwerdeführerin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Wittmann Family Holding KG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Beschwerdegegner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Küchenkönig Manufaktur GmbH &amp; Co. KG / Geisen-Familie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Beteiligte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Paderborn (Registergericht)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Ausgangsbeschluss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Paderborn vom 07.03.2026 (Ablehnungsbeschluss Eintragung Formwechsel)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 eingelegt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 (Wittmann Holding)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Erwiderung DWSP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§§ 58 ff. FamFG (Beschwerde im Registerverfahren)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Beschwerdebegründung der Wittmann Holding (zusammengefasst)</w:t>
      </w:r>
    </w:p>
    <w:p>
      <w:pPr>
        <w:jc w:val="left"/>
      </w:pPr>
      <w:r>
        <w:t>Die Wittmann Holding hat folgende Beschwerdegründe vorgetragen:</w:t>
      </w:r>
    </w:p>
    <w:p>
      <w:pPr>
        <w:jc w:val="left"/>
      </w:pPr>
      <w:r>
        <w:rPr>
          <w:b/>
        </w:rPr>
        <w:t>a) Mehrheitsfrage:</w:t>
      </w:r>
      <w:r>
        <w:t xml:space="preserve"> Die Wittmann Holding vertritt die Auffassung, dass die Stimmen der Komplementär-GmbH (26 %) bereits deshalb nicht zu berücksichtigen seien, weil sie — als Vollhafterin — einem Interessenkonflikt unterliege und bei Abstimmungen über grundlegende Strukturveränderungen kein Stimmrecht habe. Diese Ansicht ist nicht haltbar: § 7 GV enthält keine Interessenkonfliktausnahme für die Komplementär-GmbH.</w:t>
      </w:r>
    </w:p>
    <w:p>
      <w:pPr>
        <w:jc w:val="left"/>
      </w:pPr>
      <w:r>
        <w:rPr>
          <w:b/>
        </w:rPr>
        <w:t>b) Zustimmung der Komplementärin:</w:t>
      </w:r>
      <w:r>
        <w:t xml:space="preserve"> Die Wittmann Holding argumentiert, die Weigerung der Komplementär-GmbH sei rechtsmissbräuchlich (§ 242 BGB), da die Komplementär-GmbH dem Wohl der KG verpflichtet sei und ein an sich im Unternehmensinteresse liegender Formwechsel nicht aus persönlichem Eigeninteresse des GF blockiert werden dürfe. Auch dieser Einwand dürfte scheitern: Rechtsmissbrauch setzt konkret greifbare Missbräuchlichkeit voraus; strategische Überlegungen des GF zur Sicherung der Gesellschafterstruktur sind kein Rechtsmissbrauch.</w:t>
      </w:r>
    </w:p>
    <w:p>
      <w:pPr>
        <w:jc w:val="left"/>
      </w:pPr>
      <w:r>
        <w:rPr>
          <w:b/>
        </w:rPr>
        <w:t>c) Nachhol-Argumentation:</w:t>
      </w:r>
      <w:r>
        <w:t xml:space="preserve"> Die Wittmann Holding beantragt hilfsweise, ihr die Möglichkeit zu geben, die fehlenden Unterlagen (Umwandlungsbericht, Umwandlungsprüfung) nachzureichen. Dies entspricht dem Verfahrensrecht: Das OLG kann — statt die Beschwerde zu verwerfen — dem Registergericht aufgeben, den Antragstellern Gelegenheit zur Nachbesserung zu geben (§ 395 FamFG).</w:t>
      </w:r>
    </w:p>
    <w:p/>
    <w:p>
      <w:pPr>
        <w:pStyle w:val="Heading2"/>
      </w:pPr>
      <w:r>
        <w:rPr>
          <w:rFonts w:ascii="Times New Roman" w:hAnsi="Times New Roman"/>
        </w:rPr>
        <w:t>3. Erwiderung DWSP (Zusammenfassung)</w:t>
      </w:r>
    </w:p>
    <w:p>
      <w:pPr>
        <w:jc w:val="left"/>
      </w:pPr>
      <w:r>
        <w:t>Kanzlei DWSP hat für die Geisen-Seite und die Komplementär-GmbH folgende Erwiderung eingereicht:</w:t>
      </w:r>
    </w:p>
    <w:p>
      <w:pPr>
        <w:pStyle w:val="Heading3"/>
      </w:pPr>
      <w:r>
        <w:rPr>
          <w:rFonts w:ascii="Times New Roman" w:hAnsi="Times New Roman"/>
        </w:rPr>
        <w:t>3.1 Zur Mehrheitsfrage</w:t>
      </w:r>
    </w:p>
    <w:p>
      <w:pPr>
        <w:jc w:val="left"/>
      </w:pPr>
      <w:r>
        <w:t>Paragraf 214 Absatz 1 UmwG verlangt 75 % der Stimmen ohne Ausnahme. Selbst wenn man die Stimmen der Komplementär-GmbH subtrahiere (was rechtlich unzulässig ist), käme man auf 30 % (Wittmann) + 20 % (Stefan Geisen) = 50 % von 74 % (restliche Kommanditanteile) = eine rechnerisch gebildete Mehrheit von 67,5 % — immer noch unter der gesetzlichen Anforderung von 75 %.</w:t>
      </w:r>
    </w:p>
    <w:p>
      <w:pPr>
        <w:pStyle w:val="Heading3"/>
      </w:pPr>
      <w:r>
        <w:rPr>
          <w:rFonts w:ascii="Times New Roman" w:hAnsi="Times New Roman"/>
        </w:rPr>
        <w:t>3.2 Zur Zustimmungspflicht der Komplementärin</w:t>
      </w:r>
    </w:p>
    <w:p>
      <w:pPr>
        <w:jc w:val="left"/>
      </w:pPr>
      <w:r>
        <w:t>§ 228 UmwG ist zwingend. Die Komplementär-GmbH ist nicht verpflichtet, einem Formwechsel zuzustimmen, der gegen ihre wohlverstandenen Interessen und die Interessen ihrer Gesellschafter (Heinrich-Eberhard Geisen) verstößt. Die gesellschaftsrechtliche Treuepflicht verpflichtet nicht zur Selbstaufopferung; eine Obliegenheit zur Zustimmung zu strategischen Maßnahmen, die dem eigenen Ausschluss dienen, besteht erst recht nicht.</w:t>
      </w:r>
    </w:p>
    <w:p>
      <w:pPr>
        <w:pStyle w:val="Heading3"/>
      </w:pPr>
      <w:r>
        <w:rPr>
          <w:rFonts w:ascii="Times New Roman" w:hAnsi="Times New Roman"/>
        </w:rPr>
        <w:t>3.3 Antrag</w:t>
      </w:r>
    </w:p>
    <w:p>
      <w:pPr>
        <w:ind w:left="567"/>
      </w:pPr>
      <w:r>
        <w:rPr>
          <w:i/>
        </w:rPr>
        <w:t>„Die Beschwerde der Wittmann Family Holding KG wird zurückgewiesen."</w:t>
      </w:r>
    </w:p>
    <w:p/>
    <w:p>
      <w:pPr>
        <w:pStyle w:val="Heading2"/>
      </w:pPr>
      <w:r>
        <w:rPr>
          <w:rFonts w:ascii="Times New Roman" w:hAnsi="Times New Roman"/>
        </w:rPr>
        <w:t>4. Rechtliche Einschätzung des OLG-Verfahrens</w:t>
      </w:r>
    </w:p>
    <w:p>
      <w:pPr>
        <w:pStyle w:val="Heading3"/>
      </w:pPr>
      <w:r>
        <w:rPr>
          <w:rFonts w:ascii="Times New Roman" w:hAnsi="Times New Roman"/>
        </w:rPr>
        <w:t>4.1 Aussichten der Beschwerde</w:t>
      </w:r>
    </w:p>
    <w:p>
      <w:pPr>
        <w:jc w:val="left"/>
      </w:pPr>
      <w:r>
        <w:t>Das OLG Hamm hat in ähnlich gelagerten Fällen (OLG Hamm, Beschl. v. 03.12.2019, 27 Wx 302/19 — Formwechsel Personengesellschaft) die strenge Auslegung der §§ 214, 228 UmwG bestätigt. Die Beschwerde der Wittmann Holding hat nach eingehender Einschätzung geringe Erfolgsaussichten: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Beschwerdepunkt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Mehrheitsfrage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Niedrige Erfolgsaussichten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50 % &lt; 75 % nach § 214 Abs. 1 UmwG, keine Ausnahme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Zustimmungspflicht Komplementärin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Niedrige Erfolgsaussichten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228 UmwG zwingend, kein Rechtsmissbrauch der Komplementärin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Nachhol-Gelegenheit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Mittlere Aussichten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könnte Rückverweisung anordnen, nützt Wittmann aber wenig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Verfahrensdauer</w:t>
      </w:r>
    </w:p>
    <w:p>
      <w:pPr>
        <w:jc w:val="left"/>
      </w:pPr>
      <w:r>
        <w:t>OLG Hamm (27. Zivilsenat) ist für Registersachen grundsätzlich flott: Verfahrensdauer in Registerbeschwerdeverfahren erfahrungsgemäß 3–6 Monate. Entscheidung wird für Q3 2026 erwartet.</w:t>
      </w:r>
    </w:p>
    <w:p/>
    <w:p>
      <w:pPr>
        <w:pStyle w:val="Heading2"/>
      </w:pPr>
      <w:r>
        <w:rPr>
          <w:rFonts w:ascii="Times New Roman" w:hAnsi="Times New Roman"/>
        </w:rPr>
        <w:t>5. Strategische Bedeutung für den Gesamtfall</w:t>
      </w:r>
    </w:p>
    <w:p>
      <w:pPr>
        <w:jc w:val="left"/>
      </w:pPr>
      <w:r>
        <w:t>Das OLG-Verfahren ist eng verknüpft mit dem LG-Bielefeld-Verfahren:</w:t>
      </w:r>
    </w:p>
    <w:p>
      <w:pPr>
        <w:pStyle w:val="ListNumber"/>
      </w:pPr>
      <w:r>
        <w:t>Bestätigt das OLG die Ablehnung des Formwechsels (erwartet), unterstreicht dies, dass die Wittmann Holding keine Mehrheit für strukturelle Maßnahmen hat — was auch die Position zur Anfechtungsklage stärkt</w:t>
      </w:r>
    </w:p>
    <w:p>
      <w:pPr>
        <w:pStyle w:val="ListNumber"/>
      </w:pPr>
      <w:r>
        <w:t>Ein etwaiges Obsiegen der Wittmann Holding beim OLG würde hingegen den Druck auf die Geisen-Familie erhöhen und die Verhandlungsbereitschaft begünstigen</w:t>
      </w:r>
    </w:p>
    <w:p>
      <w:pPr>
        <w:pStyle w:val="ListNumber"/>
      </w:pPr>
      <w:r>
        <w:t>Vergleichsoption: Wenn die Wittmann Holding ihren Formwechsel-Plan aufgibt, könnten im Gegenzug die Geisen-Familie einen angemessenen Abfindungskompromiss anbieten — Verhandlungspaket formulieren (s. Aktenstück 20)</w:t>
      </w:r>
    </w:p>
    <w:p/>
    <w:p>
      <w:pPr>
        <w:jc w:val="left"/>
      </w:pPr>
      <w:r>
        <w:rPr>
          <w:i/>
        </w:rPr>
        <w:t>Erstellt: 28.04.2026 — Ass. iur. Miriam Sandtenbruch</w:t>
      </w:r>
    </w:p>
    <w:p>
      <w:pPr>
        <w:jc w:val="left"/>
      </w:pPr>
      <w:r>
        <w:rPr>
          <w:i/>
        </w:rPr>
        <w:t>Referenz: §§ 58 ff. FamFG (dejure.org/gesetze/FamFG/58.html); § 214 UmwG; § 228 UmwG; OLG Hamm 27 Wx 302/19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