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 HinSchG-Meldung: Schwarzkasse bei Auslieferungsfahrten</w:t>
      </w:r>
    </w:p>
    <w:p>
      <w:pPr>
        <w:jc w:val="left"/>
      </w:pPr>
      <w:r>
        <w:rPr>
          <w:b/>
        </w:rPr>
        <w:t>Akte:</w:t>
      </w:r>
      <w:r>
        <w:t xml:space="preserve"> DWSP/2026/GR-4417</w:t>
      </w:r>
    </w:p>
    <w:p>
      <w:pPr>
        <w:jc w:val="left"/>
      </w:pPr>
      <w:r>
        <w:rPr>
          <w:b/>
        </w:rPr>
        <w:t>Erstellt:</w:t>
      </w:r>
      <w:r>
        <w:t xml:space="preserve"> 29.04.2026</w:t>
      </w:r>
    </w:p>
    <w:p>
      <w:pPr>
        <w:jc w:val="left"/>
      </w:pPr>
      <w:r>
        <w:rPr>
          <w:b/>
        </w:rPr>
        <w:t>Bearbeiter:</w:t>
      </w:r>
      <w:r>
        <w:t xml:space="preserve"> Prof. Dr. Wieland Drosselberg / RAin Kerstin Wegener</w:t>
      </w:r>
    </w:p>
    <w:p/>
    <w:p>
      <w:pPr>
        <w:pStyle w:val="Heading2"/>
      </w:pPr>
      <w:r>
        <w:rPr>
          <w:rFonts w:ascii="Times New Roman" w:hAnsi="Times New Roman"/>
        </w:rPr>
        <w:t>1. Die HinSchG-Meldung (28.02.2026)</w:t>
      </w:r>
    </w:p>
    <w:p>
      <w:pPr>
        <w:pStyle w:val="Heading3"/>
      </w:pPr>
      <w:r>
        <w:rPr>
          <w:rFonts w:ascii="Times New Roman" w:hAnsi="Times New Roman"/>
        </w:rPr>
        <w:t>1.1 Inhalt der anonymen Meldung</w:t>
      </w:r>
    </w:p>
    <w:p>
      <w:pPr>
        <w:jc w:val="left"/>
      </w:pPr>
      <w:r>
        <w:t>Am 28. Februar 2026 ging bei der internen Meldestelle der Küchenkönig Manufaktur GmbH &amp; Co. KG (Meldestellen-Verantwortliche: Prokuristin Ingrid Schattmann-Berger) eine anonyme Hinweismeldung per verschlüsseltem Online-Formular ein. Der wesentliche Inhalt lautete:</w:t>
      </w:r>
    </w:p>
    <w:p>
      <w:pPr>
        <w:ind w:left="567"/>
      </w:pPr>
      <w:r>
        <w:rPr>
          <w:i/>
        </w:rPr>
        <w:t>„Bei Auslieferungsfahrten zu Privatkunden werden regelmäßig Barzahlungen für sogenannte ‚Sonderwünsche' (z.B. vorzeitige Lieferung, Aufstellungsarbeiten ohne Berechnung über Kasse, Kleinstanpassungen vor Ort) entgegengenommen, ohne diese in der Buchhaltung zu erfassen. Über einen Zeitraum von mindestens drei Jahren (2023–2025) soll es sich um einen Gesamtbetrag von ca. 1,2 Mio. EUR handeln. Das Geld verbleibt zum Teil bei den Fahrern/Monteuren, ein Teil soll an einen oder mehrere ‚Hintermänner in der Verwaltung' weitergeleitet worden sein."</w:t>
      </w:r>
    </w:p>
    <w:p>
      <w:pPr>
        <w:jc w:val="left"/>
      </w:pPr>
      <w:r>
        <w:t>Die Meldung wurde gemäß § 17 HinSchG als eingegangen registriert (Eingangsdatum 28.02.2026, laufende Nr. 2026/IM-003). Frist zur Rückmeldung an Hinweisgeberin (falls identifizierbar): 7 Tage (§ 17 Abs. 1 S. 2 HinSchG); hier nicht anwendbar, da anonym.</w:t>
      </w:r>
    </w:p>
    <w:p>
      <w:pPr>
        <w:pStyle w:val="Heading3"/>
      </w:pPr>
      <w:r>
        <w:rPr>
          <w:rFonts w:ascii="Times New Roman" w:hAnsi="Times New Roman"/>
        </w:rPr>
        <w:t>1.2 Einordnung nach HinSchG</w:t>
      </w:r>
    </w:p>
    <w:p>
      <w:pPr>
        <w:jc w:val="left"/>
      </w:pPr>
      <w:r>
        <w:t>Das Hinweisgeberschutzgesetz (HinSchG, BGBl. 2023 I Nr. 140, in Kraft 02.07.2023) verpflichtet Unternehmen mit mehr als 50 Mitarbeitern zur Einrichtung eines internen Meldekanals (§ 12 HinSchG). Die Küchenkönig Manufaktur GmbH &amp; Co. KG (95 MA) ist dazu verpflichtet.</w:t>
      </w:r>
    </w:p>
    <w:p>
      <w:pPr>
        <w:jc w:val="left"/>
      </w:pPr>
      <w:r>
        <w:rPr>
          <w:b/>
        </w:rPr>
        <w:t>Schutz des Hinweisgebers:</w:t>
      </w:r>
      <w:r>
        <w:t xml:space="preserve"> Auch wenn die Meldung anonym erfolgte, gilt das Diskriminierungsverbot des HinSchG (§ 36) für den Fall, dass der/die Hinweisgeber/in später identifiziert wird. Keine Maßnahmen gegen potenzielle Hinweisgeber ohne konkrete Verdachtsgrundlage.</w:t>
      </w:r>
    </w:p>
    <w:p>
      <w:pPr>
        <w:jc w:val="left"/>
      </w:pPr>
      <w:r>
        <w:rPr>
          <w:b/>
        </w:rPr>
        <w:t>Pflicht zur internen Untersuchung:</w:t>
      </w:r>
      <w:r>
        <w:t xml:space="preserve"> § 17 Abs. 2 HinSchG i.V.m. § 13 HinSchG verpflichtet die Meldestelle, hinreichend begründeten Meldungen nachzugehen. Der Sachverhalt (1,2 Mio. EUR Schwarzkasse über 3 Jahre) ist ausreichend konkret und schwerwiegend, um eine interne Untersuchung einzuleiten.</w:t>
      </w:r>
    </w:p>
    <w:p/>
    <w:p>
      <w:pPr>
        <w:pStyle w:val="Heading2"/>
      </w:pPr>
      <w:r>
        <w:rPr>
          <w:rFonts w:ascii="Times New Roman" w:hAnsi="Times New Roman"/>
        </w:rPr>
        <w:t>2. Bewertung der Meldung</w:t>
      </w:r>
    </w:p>
    <w:p>
      <w:pPr>
        <w:pStyle w:val="Heading3"/>
      </w:pPr>
      <w:r>
        <w:rPr>
          <w:rFonts w:ascii="Times New Roman" w:hAnsi="Times New Roman"/>
        </w:rPr>
        <w:t>2.1 Plausibilitätsprüfung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Geografische Plausibilität</w:t>
            </w:r>
          </w:p>
        </w:tc>
        <w:tc>
          <w:tcPr>
            <w:tcW w:type="dxa" w:w="4536"/>
          </w:tcPr>
          <w:p>
            <w:r>
              <w:rPr>
                <w:rFonts w:ascii="Times New Roman" w:hAnsi="Times New Roman"/>
                <w:sz w:val="20"/>
              </w:rPr>
              <w:t>Hoch: Auslieferungsfahrten zu Privatkunden sind typische Bargeld-Schnittstellen</w:t>
            </w:r>
          </w:p>
        </w:tc>
      </w:tr>
      <w:tr>
        <w:tc>
          <w:tcPr>
            <w:tcW w:type="dxa" w:w="4536"/>
          </w:tcPr>
          <w:p>
            <w:r>
              <w:rPr>
                <w:rFonts w:ascii="Times New Roman" w:hAnsi="Times New Roman"/>
                <w:sz w:val="20"/>
              </w:rPr>
              <w:t>Betragliche Plausibilität</w:t>
            </w:r>
          </w:p>
        </w:tc>
        <w:tc>
          <w:tcPr>
            <w:tcW w:type="dxa" w:w="4536"/>
          </w:tcPr>
          <w:p>
            <w:r>
              <w:rPr>
                <w:rFonts w:ascii="Times New Roman" w:hAnsi="Times New Roman"/>
                <w:sz w:val="20"/>
              </w:rPr>
              <w:t>Mittel: 1,2 Mio. EUR über 3 Jahre = 400 TEUR/Jahr; bei ca. 300 Privatkunden/Jahr = 1.333 EUR/Auftrag — absolut im Bereich des Möglichen, aber eher hoch</w:t>
            </w:r>
          </w:p>
        </w:tc>
      </w:tr>
      <w:tr>
        <w:tc>
          <w:tcPr>
            <w:tcW w:type="dxa" w:w="4536"/>
          </w:tcPr>
          <w:p>
            <w:r>
              <w:rPr>
                <w:rFonts w:ascii="Times New Roman" w:hAnsi="Times New Roman"/>
                <w:sz w:val="20"/>
              </w:rPr>
              <w:t>Systemische Hinweise</w:t>
            </w:r>
          </w:p>
        </w:tc>
        <w:tc>
          <w:tcPr>
            <w:tcW w:type="dxa" w:w="4536"/>
          </w:tcPr>
          <w:p>
            <w:r>
              <w:rPr>
                <w:rFonts w:ascii="Times New Roman" w:hAnsi="Times New Roman"/>
                <w:sz w:val="20"/>
              </w:rPr>
              <w:t>Unklar: Verweis auf „Hintermänner in der Verwaltung" deutet auf organisierte Struktur hin</w:t>
            </w:r>
          </w:p>
        </w:tc>
      </w:tr>
      <w:tr>
        <w:tc>
          <w:tcPr>
            <w:tcW w:type="dxa" w:w="4536"/>
          </w:tcPr>
          <w:p>
            <w:r>
              <w:rPr>
                <w:rFonts w:ascii="Times New Roman" w:hAnsi="Times New Roman"/>
                <w:sz w:val="20"/>
              </w:rPr>
              <w:t>Steuerpolitische Relevanz</w:t>
            </w:r>
          </w:p>
        </w:tc>
        <w:tc>
          <w:tcPr>
            <w:tcW w:type="dxa" w:w="4536"/>
          </w:tcPr>
          <w:p>
            <w:r>
              <w:rPr>
                <w:rFonts w:ascii="Times New Roman" w:hAnsi="Times New Roman"/>
                <w:sz w:val="20"/>
              </w:rPr>
              <w:t>Sehr hoch: Nicht verbuchte Barbarzahlungen sind zwingend als Steuerhinterziehung zu behandeln (§ 370 AO)</w:t>
            </w:r>
          </w:p>
        </w:tc>
      </w:tr>
    </w:tbl>
    <w:p>
      <w:pPr>
        <w:pStyle w:val="Heading3"/>
      </w:pPr>
      <w:r>
        <w:rPr>
          <w:rFonts w:ascii="Times New Roman" w:hAnsi="Times New Roman"/>
        </w:rPr>
        <w:t>2.2 Mögliche Tatbestände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Tatbestand</w:t>
            </w:r>
          </w:p>
        </w:tc>
        <w:tc>
          <w:tcPr>
            <w:tcW w:type="dxa" w:w="3024"/>
          </w:tcPr>
          <w:p>
            <w:r>
              <w:rPr>
                <w:rFonts w:ascii="Times New Roman" w:hAnsi="Times New Roman"/>
                <w:b/>
                <w:sz w:val="20"/>
              </w:rPr>
              <w:t>Norm</w:t>
            </w:r>
          </w:p>
        </w:tc>
        <w:tc>
          <w:tcPr>
            <w:tcW w:type="dxa" w:w="3024"/>
          </w:tcPr>
          <w:p>
            <w:r>
              <w:rPr>
                <w:rFonts w:ascii="Times New Roman" w:hAnsi="Times New Roman"/>
                <w:b/>
                <w:sz w:val="20"/>
              </w:rPr>
              <w:t>Verdachtsgrad</w:t>
            </w:r>
          </w:p>
        </w:tc>
      </w:tr>
      <w:tr>
        <w:tc>
          <w:tcPr>
            <w:tcW w:type="dxa" w:w="3024"/>
          </w:tcPr>
          <w:p>
            <w:r>
              <w:rPr>
                <w:rFonts w:ascii="Times New Roman" w:hAnsi="Times New Roman"/>
                <w:sz w:val="20"/>
              </w:rPr>
              <w:t>Steuerhinterziehung (USt, ESt, GewSt auf verdeckte Einnahmen)</w:t>
            </w:r>
          </w:p>
        </w:tc>
        <w:tc>
          <w:tcPr>
            <w:tcW w:type="dxa" w:w="3024"/>
          </w:tcPr>
          <w:p>
            <w:r>
              <w:rPr>
                <w:rFonts w:ascii="Times New Roman" w:hAnsi="Times New Roman"/>
                <w:sz w:val="20"/>
              </w:rPr>
              <w:t>§ 370 AO</w:t>
            </w:r>
          </w:p>
        </w:tc>
        <w:tc>
          <w:tcPr>
            <w:tcW w:type="dxa" w:w="3024"/>
          </w:tcPr>
          <w:p>
            <w:r>
              <w:rPr>
                <w:rFonts w:ascii="Times New Roman" w:hAnsi="Times New Roman"/>
                <w:sz w:val="20"/>
              </w:rPr>
              <w:t>Hoch — soweit Zahlungen nicht erfasst</w:t>
            </w:r>
          </w:p>
        </w:tc>
      </w:tr>
      <w:tr>
        <w:tc>
          <w:tcPr>
            <w:tcW w:type="dxa" w:w="3024"/>
          </w:tcPr>
          <w:p>
            <w:r>
              <w:rPr>
                <w:rFonts w:ascii="Times New Roman" w:hAnsi="Times New Roman"/>
                <w:sz w:val="20"/>
              </w:rPr>
              <w:t>Untreue (Arbeitnehmer zweigen für sich ab)</w:t>
            </w:r>
          </w:p>
        </w:tc>
        <w:tc>
          <w:tcPr>
            <w:tcW w:type="dxa" w:w="3024"/>
          </w:tcPr>
          <w:p>
            <w:r>
              <w:rPr>
                <w:rFonts w:ascii="Times New Roman" w:hAnsi="Times New Roman"/>
                <w:sz w:val="20"/>
              </w:rPr>
              <w:t>§ 266 StGB</w:t>
            </w:r>
          </w:p>
        </w:tc>
        <w:tc>
          <w:tcPr>
            <w:tcW w:type="dxa" w:w="3024"/>
          </w:tcPr>
          <w:p>
            <w:r>
              <w:rPr>
                <w:rFonts w:ascii="Times New Roman" w:hAnsi="Times New Roman"/>
                <w:sz w:val="20"/>
              </w:rPr>
              <w:t>Hoch — soweit Montageteams nicht abliefern</w:t>
            </w:r>
          </w:p>
        </w:tc>
      </w:tr>
      <w:tr>
        <w:tc>
          <w:tcPr>
            <w:tcW w:type="dxa" w:w="3024"/>
          </w:tcPr>
          <w:p>
            <w:r>
              <w:rPr>
                <w:rFonts w:ascii="Times New Roman" w:hAnsi="Times New Roman"/>
                <w:sz w:val="20"/>
              </w:rPr>
              <w:t>Untreue (Verwaltungs-„Hintermänner")</w:t>
            </w:r>
          </w:p>
        </w:tc>
        <w:tc>
          <w:tcPr>
            <w:tcW w:type="dxa" w:w="3024"/>
          </w:tcPr>
          <w:p>
            <w:r>
              <w:rPr>
                <w:rFonts w:ascii="Times New Roman" w:hAnsi="Times New Roman"/>
                <w:sz w:val="20"/>
              </w:rPr>
              <w:t>§ 266 StGB</w:t>
            </w:r>
          </w:p>
        </w:tc>
        <w:tc>
          <w:tcPr>
            <w:tcW w:type="dxa" w:w="3024"/>
          </w:tcPr>
          <w:p>
            <w:r>
              <w:rPr>
                <w:rFonts w:ascii="Times New Roman" w:hAnsi="Times New Roman"/>
                <w:sz w:val="20"/>
              </w:rPr>
              <w:t>Mittel — konkrete Personen noch unbekannt</w:t>
            </w:r>
          </w:p>
        </w:tc>
      </w:tr>
      <w:tr>
        <w:tc>
          <w:tcPr>
            <w:tcW w:type="dxa" w:w="3024"/>
          </w:tcPr>
          <w:p>
            <w:r>
              <w:rPr>
                <w:rFonts w:ascii="Times New Roman" w:hAnsi="Times New Roman"/>
                <w:sz w:val="20"/>
              </w:rPr>
              <w:t>Geldwäsche (Zirkulation Schwarzgeld)</w:t>
            </w:r>
          </w:p>
        </w:tc>
        <w:tc>
          <w:tcPr>
            <w:tcW w:type="dxa" w:w="3024"/>
          </w:tcPr>
          <w:p>
            <w:r>
              <w:rPr>
                <w:rFonts w:ascii="Times New Roman" w:hAnsi="Times New Roman"/>
                <w:sz w:val="20"/>
              </w:rPr>
              <w:t>§ 261 StGB</w:t>
            </w:r>
          </w:p>
        </w:tc>
        <w:tc>
          <w:tcPr>
            <w:tcW w:type="dxa" w:w="3024"/>
          </w:tcPr>
          <w:p>
            <w:r>
              <w:rPr>
                <w:rFonts w:ascii="Times New Roman" w:hAnsi="Times New Roman"/>
                <w:sz w:val="20"/>
              </w:rPr>
              <w:t>Mittel — abhängig von konkretem Geschäftsmodell</w:t>
            </w:r>
          </w:p>
        </w:tc>
      </w:tr>
      <w:tr>
        <w:tc>
          <w:tcPr>
            <w:tcW w:type="dxa" w:w="3024"/>
          </w:tcPr>
          <w:p>
            <w:r>
              <w:rPr>
                <w:rFonts w:ascii="Times New Roman" w:hAnsi="Times New Roman"/>
                <w:sz w:val="20"/>
              </w:rPr>
              <w:t>Verstoß GeschGehG (interne Preislisten missbraucht)</w:t>
            </w:r>
          </w:p>
        </w:tc>
        <w:tc>
          <w:tcPr>
            <w:tcW w:type="dxa" w:w="3024"/>
          </w:tcPr>
          <w:p>
            <w:r>
              <w:rPr>
                <w:rFonts w:ascii="Times New Roman" w:hAnsi="Times New Roman"/>
                <w:sz w:val="20"/>
              </w:rPr>
              <w:t>GeschGehG</w:t>
            </w:r>
          </w:p>
        </w:tc>
        <w:tc>
          <w:tcPr>
            <w:tcW w:type="dxa" w:w="3024"/>
          </w:tcPr>
          <w:p>
            <w:r>
              <w:rPr>
                <w:rFonts w:ascii="Times New Roman" w:hAnsi="Times New Roman"/>
                <w:sz w:val="20"/>
              </w:rPr>
              <w:t>Niedrig</w:t>
            </w:r>
          </w:p>
        </w:tc>
      </w:tr>
    </w:tbl>
    <w:p/>
    <w:p>
      <w:pPr>
        <w:pStyle w:val="Heading2"/>
      </w:pPr>
      <w:r>
        <w:rPr>
          <w:rFonts w:ascii="Times New Roman" w:hAnsi="Times New Roman"/>
        </w:rPr>
        <w:t>3. Verhalten der Gesellschaft und Geschäftsführung</w:t>
      </w:r>
    </w:p>
    <w:p>
      <w:pPr>
        <w:jc w:val="left"/>
      </w:pPr>
      <w:r>
        <w:t>Wichtiger Hinweis: Der GF Heinrich-Eberhard Geisen hat nach eigenem Bekunden von der Schwarzkasse keine Kenntnis. Dies ist plausibel, schließt aber nicht aus, dass er organisatorisch mitverantwortlich ist (Stichwort: Organisationsverschulden, § 130 OWiG). Die Kanzlei DWSP wurde von der Mandantengruppe beauftragt, die interne Untersuchung zu führen — und zwar unabhängig von der Person des GF, um Interessenkonflikte zu vermeiden.</w:t>
      </w:r>
    </w:p>
    <w:p/>
    <w:p>
      <w:pPr>
        <w:pStyle w:val="Heading2"/>
      </w:pPr>
      <w:r>
        <w:rPr>
          <w:rFonts w:ascii="Times New Roman" w:hAnsi="Times New Roman"/>
        </w:rPr>
        <w:t>4. Pflichten und nächste Schritte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Schritt</w:t>
            </w:r>
          </w:p>
        </w:tc>
        <w:tc>
          <w:tcPr>
            <w:tcW w:type="dxa" w:w="3024"/>
          </w:tcPr>
          <w:p>
            <w:r>
              <w:rPr>
                <w:rFonts w:ascii="Times New Roman" w:hAnsi="Times New Roman"/>
                <w:b/>
                <w:sz w:val="20"/>
              </w:rPr>
              <w:t>Zuständig</w:t>
            </w:r>
          </w:p>
        </w:tc>
        <w:tc>
          <w:tcPr>
            <w:tcW w:type="dxa" w:w="3024"/>
          </w:tcPr>
          <w:p>
            <w:r>
              <w:rPr>
                <w:rFonts w:ascii="Times New Roman" w:hAnsi="Times New Roman"/>
                <w:b/>
                <w:sz w:val="20"/>
              </w:rPr>
              <w:t>Frist</w:t>
            </w:r>
          </w:p>
        </w:tc>
      </w:tr>
      <w:tr>
        <w:tc>
          <w:tcPr>
            <w:tcW w:type="dxa" w:w="3024"/>
          </w:tcPr>
          <w:p>
            <w:r>
              <w:rPr>
                <w:rFonts w:ascii="Times New Roman" w:hAnsi="Times New Roman"/>
                <w:sz w:val="20"/>
              </w:rPr>
              <w:t>Beauftragung forensischer Buchprüfer (Rödl &amp; Partner, Paderborn)</w:t>
            </w:r>
          </w:p>
        </w:tc>
        <w:tc>
          <w:tcPr>
            <w:tcW w:type="dxa" w:w="3024"/>
          </w:tcPr>
          <w:p>
            <w:r>
              <w:rPr>
                <w:rFonts w:ascii="Times New Roman" w:hAnsi="Times New Roman"/>
                <w:sz w:val="20"/>
              </w:rPr>
              <w:t>Kanzlei DWSP</w:t>
            </w:r>
          </w:p>
        </w:tc>
        <w:tc>
          <w:tcPr>
            <w:tcW w:type="dxa" w:w="3024"/>
          </w:tcPr>
          <w:p>
            <w:r>
              <w:rPr>
                <w:rFonts w:ascii="Times New Roman" w:hAnsi="Times New Roman"/>
                <w:sz w:val="20"/>
              </w:rPr>
              <w:t>05.05.2026</w:t>
            </w:r>
          </w:p>
        </w:tc>
      </w:tr>
      <w:tr>
        <w:tc>
          <w:tcPr>
            <w:tcW w:type="dxa" w:w="3024"/>
          </w:tcPr>
          <w:p>
            <w:r>
              <w:rPr>
                <w:rFonts w:ascii="Times New Roman" w:hAnsi="Times New Roman"/>
                <w:sz w:val="20"/>
              </w:rPr>
              <w:t>Sicherung digitaler und physischer Buchhaltungsdaten</w:t>
            </w:r>
          </w:p>
        </w:tc>
        <w:tc>
          <w:tcPr>
            <w:tcW w:type="dxa" w:w="3024"/>
          </w:tcPr>
          <w:p>
            <w:r>
              <w:rPr>
                <w:rFonts w:ascii="Times New Roman" w:hAnsi="Times New Roman"/>
                <w:sz w:val="20"/>
              </w:rPr>
              <w:t>IT + Kanzlei</w:t>
            </w:r>
          </w:p>
        </w:tc>
        <w:tc>
          <w:tcPr>
            <w:tcW w:type="dxa" w:w="3024"/>
          </w:tcPr>
          <w:p>
            <w:r>
              <w:rPr>
                <w:rFonts w:ascii="Times New Roman" w:hAnsi="Times New Roman"/>
                <w:sz w:val="20"/>
              </w:rPr>
              <w:t>sofort</w:t>
            </w:r>
          </w:p>
        </w:tc>
      </w:tr>
      <w:tr>
        <w:tc>
          <w:tcPr>
            <w:tcW w:type="dxa" w:w="3024"/>
          </w:tcPr>
          <w:p>
            <w:r>
              <w:rPr>
                <w:rFonts w:ascii="Times New Roman" w:hAnsi="Times New Roman"/>
                <w:sz w:val="20"/>
              </w:rPr>
              <w:t>Interviews mit Montageteams und Fahrern (vertraulich)</w:t>
            </w:r>
          </w:p>
        </w:tc>
        <w:tc>
          <w:tcPr>
            <w:tcW w:type="dxa" w:w="3024"/>
          </w:tcPr>
          <w:p>
            <w:r>
              <w:rPr>
                <w:rFonts w:ascii="Times New Roman" w:hAnsi="Times New Roman"/>
                <w:sz w:val="20"/>
              </w:rPr>
              <w:t>Kanzlei DWSP</w:t>
            </w:r>
          </w:p>
        </w:tc>
        <w:tc>
          <w:tcPr>
            <w:tcW w:type="dxa" w:w="3024"/>
          </w:tcPr>
          <w:p>
            <w:r>
              <w:rPr>
                <w:rFonts w:ascii="Times New Roman" w:hAnsi="Times New Roman"/>
                <w:sz w:val="20"/>
              </w:rPr>
              <w:t>ab 10.05.2026</w:t>
            </w:r>
          </w:p>
        </w:tc>
      </w:tr>
      <w:tr>
        <w:tc>
          <w:tcPr>
            <w:tcW w:type="dxa" w:w="3024"/>
          </w:tcPr>
          <w:p>
            <w:r>
              <w:rPr>
                <w:rFonts w:ascii="Times New Roman" w:hAnsi="Times New Roman"/>
                <w:sz w:val="20"/>
              </w:rPr>
              <w:t>Abgleich Lieferscheine vs. Kassenbuch</w:t>
            </w:r>
          </w:p>
        </w:tc>
        <w:tc>
          <w:tcPr>
            <w:tcW w:type="dxa" w:w="3024"/>
          </w:tcPr>
          <w:p>
            <w:r>
              <w:rPr>
                <w:rFonts w:ascii="Times New Roman" w:hAnsi="Times New Roman"/>
                <w:sz w:val="20"/>
              </w:rPr>
              <w:t>Forensischer Prüfer</w:t>
            </w:r>
          </w:p>
        </w:tc>
        <w:tc>
          <w:tcPr>
            <w:tcW w:type="dxa" w:w="3024"/>
          </w:tcPr>
          <w:p>
            <w:r>
              <w:rPr>
                <w:rFonts w:ascii="Times New Roman" w:hAnsi="Times New Roman"/>
                <w:sz w:val="20"/>
              </w:rPr>
              <w:t>Mai 2026</w:t>
            </w:r>
          </w:p>
        </w:tc>
      </w:tr>
      <w:tr>
        <w:tc>
          <w:tcPr>
            <w:tcW w:type="dxa" w:w="3024"/>
          </w:tcPr>
          <w:p>
            <w:r>
              <w:rPr>
                <w:rFonts w:ascii="Times New Roman" w:hAnsi="Times New Roman"/>
                <w:sz w:val="20"/>
              </w:rPr>
              <w:t>Zwischenbericht an Gesellschafterversammlung</w:t>
            </w:r>
          </w:p>
        </w:tc>
        <w:tc>
          <w:tcPr>
            <w:tcW w:type="dxa" w:w="3024"/>
          </w:tcPr>
          <w:p>
            <w:r>
              <w:rPr>
                <w:rFonts w:ascii="Times New Roman" w:hAnsi="Times New Roman"/>
                <w:sz w:val="20"/>
              </w:rPr>
              <w:t>Kanzlei DWSP</w:t>
            </w:r>
          </w:p>
        </w:tc>
        <w:tc>
          <w:tcPr>
            <w:tcW w:type="dxa" w:w="3024"/>
          </w:tcPr>
          <w:p>
            <w:r>
              <w:rPr>
                <w:rFonts w:ascii="Times New Roman" w:hAnsi="Times New Roman"/>
                <w:sz w:val="20"/>
              </w:rPr>
              <w:t>30.06.2026</w:t>
            </w:r>
          </w:p>
        </w:tc>
      </w:tr>
      <w:tr>
        <w:tc>
          <w:tcPr>
            <w:tcW w:type="dxa" w:w="3024"/>
          </w:tcPr>
          <w:p>
            <w:r>
              <w:rPr>
                <w:rFonts w:ascii="Times New Roman" w:hAnsi="Times New Roman"/>
                <w:sz w:val="20"/>
              </w:rPr>
              <w:t>Entscheidung über Selbstanzeige § 371 AO</w:t>
            </w:r>
          </w:p>
        </w:tc>
        <w:tc>
          <w:tcPr>
            <w:tcW w:type="dxa" w:w="3024"/>
          </w:tcPr>
          <w:p>
            <w:r>
              <w:rPr>
                <w:rFonts w:ascii="Times New Roman" w:hAnsi="Times New Roman"/>
                <w:sz w:val="20"/>
              </w:rPr>
              <w:t>Nach Zwischenbericht</w:t>
            </w:r>
          </w:p>
        </w:tc>
        <w:tc>
          <w:tcPr>
            <w:tcW w:type="dxa" w:w="3024"/>
          </w:tcPr>
          <w:p>
            <w:r>
              <w:rPr>
                <w:rFonts w:ascii="Times New Roman" w:hAnsi="Times New Roman"/>
                <w:sz w:val="20"/>
              </w:rPr>
              <w:t>Juli 2026</w:t>
            </w:r>
          </w:p>
        </w:tc>
      </w:tr>
    </w:tbl>
    <w:p/>
    <w:p>
      <w:pPr>
        <w:jc w:val="left"/>
      </w:pPr>
      <w:r>
        <w:rPr>
          <w:i/>
        </w:rPr>
        <w:t>Erstellt: 29.04.2026 — Prof. Dr. Wieland Drosselberg / RAin Kerstin Wegener</w:t>
      </w:r>
    </w:p>
    <w:p>
      <w:pPr>
        <w:jc w:val="left"/>
      </w:pPr>
      <w:r>
        <w:rPr>
          <w:i/>
        </w:rPr>
        <w:t>Referenz: HinSchG (BGBl. 2023 I Nr. 140); § 370 AO (dejure.org/gesetze/AO/370.html); § 266 StGB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