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16 — Interne Untersuchung: Forensische Buchprüfung und Maßnahmenplan</w:t>
      </w:r>
    </w:p>
    <w:p>
      <w:pPr>
        <w:jc w:val="left"/>
      </w:pPr>
      <w:r>
        <w:rPr>
          <w:b/>
        </w:rPr>
        <w:t>Akte:</w:t>
      </w:r>
      <w:r>
        <w:t xml:space="preserve"> DWSP/2026/GR-4417</w:t>
      </w:r>
    </w:p>
    <w:p>
      <w:pPr>
        <w:jc w:val="left"/>
      </w:pPr>
      <w:r>
        <w:rPr>
          <w:b/>
        </w:rPr>
        <w:t>Erstellt:</w:t>
      </w:r>
      <w:r>
        <w:t xml:space="preserve"> 05.05.2026</w:t>
      </w:r>
    </w:p>
    <w:p>
      <w:pPr>
        <w:jc w:val="left"/>
      </w:pPr>
      <w:r>
        <w:rPr>
          <w:b/>
        </w:rPr>
        <w:t>Bearbeiter:</w:t>
      </w:r>
      <w:r>
        <w:t xml:space="preserve"> Prof. Dr. Wieland Drosselberg / Forensiker Rödl &amp; Partner, Paderborn</w:t>
      </w:r>
    </w:p>
    <w:p/>
    <w:p>
      <w:pPr>
        <w:pStyle w:val="Heading2"/>
      </w:pPr>
      <w:r>
        <w:rPr>
          <w:rFonts w:ascii="Times New Roman" w:hAnsi="Times New Roman"/>
        </w:rPr>
        <w:t>1. Untersuchungsauftrag</w:t>
      </w:r>
    </w:p>
    <w:p>
      <w:pPr>
        <w:jc w:val="left"/>
      </w:pPr>
      <w:r>
        <w:t>Die Kanzlei DWSP hat im Auftrag der Küchenkönig Manufaktur GmbH &amp; Co. KG (vertreten durch Prokuristin Ingrid Schattmann-Berger als Meldestellen-Verantwortliche) am 05. Mai 2026 die Forensikabteilung von Rödl &amp; Partner (Paderborn) mit der Durchführung einer forensischen Buchprüfung beauftragt. Untersuchungszeitraum: 01.01.2023–28.02.2026 (Datum der HinSchG-Meldung).</w:t>
      </w:r>
    </w:p>
    <w:p>
      <w:pPr>
        <w:jc w:val="left"/>
      </w:pPr>
      <w:r>
        <w:rPr>
          <w:b/>
        </w:rPr>
        <w:t>Untersuchungsgegenstand:</w:t>
      </w:r>
    </w:p>
    <w:p>
      <w:pPr>
        <w:pStyle w:val="ListNumber"/>
      </w:pPr>
      <w:r>
        <w:t>Existenz einer Schwarzkasse im Zusammenhang mit Auslieferungsfahrten an Privatkunden</w:t>
      </w:r>
    </w:p>
    <w:p>
      <w:pPr>
        <w:pStyle w:val="ListNumber"/>
      </w:pPr>
      <w:r>
        <w:t>Beteiligte Personen (Montageteams, Fahrer, Verwaltungsmitarbeiter)</w:t>
      </w:r>
    </w:p>
    <w:p>
      <w:pPr>
        <w:pStyle w:val="ListNumber"/>
      </w:pPr>
      <w:r>
        <w:t>Schadensausmaß und steuerliche Relevanz</w:t>
      </w:r>
    </w:p>
    <w:p>
      <w:pPr>
        <w:pStyle w:val="ListNumber"/>
      </w:pPr>
      <w:r>
        <w:t>Empfehlung zur Selbstanzeige und Schadensbegrenzung</w:t>
      </w:r>
    </w:p>
    <w:p/>
    <w:p>
      <w:pPr>
        <w:pStyle w:val="Heading2"/>
      </w:pPr>
      <w:r>
        <w:rPr>
          <w:rFonts w:ascii="Times New Roman" w:hAnsi="Times New Roman"/>
        </w:rPr>
        <w:t>2. Forensische Methodik</w:t>
      </w:r>
    </w:p>
    <w:p>
      <w:pPr>
        <w:pStyle w:val="Heading3"/>
      </w:pPr>
      <w:r>
        <w:rPr>
          <w:rFonts w:ascii="Times New Roman" w:hAnsi="Times New Roman"/>
        </w:rPr>
        <w:t>2.1 Datengrundlage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Datenquelle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Kassenbuch 2023–2026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Tageseinnahmen, Barzahlungen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Gesichert 05.05.2026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Lieferscheine (physisch)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Kundensignaturen, Auslieferungsdaten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Gesichert 05.05.2026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Kunden-CRM (ERP-System)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Auftragsvolumen, Zahlungsart, Lieferdaten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Datenexport angefordert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Lohnabrechnungen Montageteams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Zulagen, Sonderleistungen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Beim Steuerbüro angefordert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Fahrtenbücher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Routen, Kundenanschriften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Teilweise digital vorhanden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Geschäftskonto Sparkasse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Einzahlungen aus Bargeschäften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Kontoauszüge 2023–2026 angefordert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Analysemethoden</w:t>
      </w:r>
    </w:p>
    <w:p>
      <w:pPr>
        <w:pStyle w:val="ListBullet"/>
      </w:pPr>
      <w:r>
        <w:rPr>
          <w:b/>
        </w:rPr>
        <w:t>Benford-Analyse:</w:t>
      </w:r>
      <w:r>
        <w:t xml:space="preserve"> Überprüfung der ersten Stelle von Bareinnahmen; Abweichungen von der natürlichen Ziffernverteilung deuten auf Manipulation hin</w:t>
      </w:r>
    </w:p>
    <w:p>
      <w:pPr>
        <w:pStyle w:val="ListBullet"/>
      </w:pPr>
      <w:r>
        <w:rPr>
          <w:b/>
        </w:rPr>
        <w:t>Vergleichsanalyse:</w:t>
      </w:r>
      <w:r>
        <w:t xml:space="preserve"> Abgleich Lieferschein-Umsatz vs. erfasste Kasseneinnahmen je Kundenkategorie</w:t>
      </w:r>
    </w:p>
    <w:p>
      <w:pPr>
        <w:pStyle w:val="ListBullet"/>
      </w:pPr>
      <w:r>
        <w:rPr>
          <w:b/>
        </w:rPr>
        <w:t>Gap-Analyse:</w:t>
      </w:r>
      <w:r>
        <w:t xml:space="preserve"> Zeitliche Lücken im Kassenbuch mit Liefertätigkeit laut Fahrtenbuch</w:t>
      </w:r>
    </w:p>
    <w:p>
      <w:pPr>
        <w:pStyle w:val="ListBullet"/>
      </w:pPr>
      <w:r>
        <w:rPr>
          <w:b/>
        </w:rPr>
        <w:t>Interviews:</w:t>
      </w:r>
      <w:r>
        <w:t xml:space="preserve"> Vertrauliche Gespräche mit 12 ausgewählten Monteuren und Fahrern (Personalrat informiert, Zeugnisverweigerungsrecht belehrt)</w:t>
      </w:r>
    </w:p>
    <w:p/>
    <w:p>
      <w:pPr>
        <w:pStyle w:val="Heading2"/>
      </w:pPr>
      <w:r>
        <w:rPr>
          <w:rFonts w:ascii="Times New Roman" w:hAnsi="Times New Roman"/>
        </w:rPr>
        <w:t>3. Zwischenergebnisse (vorläufig, Stand 04.06.2026)</w:t>
      </w:r>
    </w:p>
    <w:p>
      <w:pPr>
        <w:pStyle w:val="Heading3"/>
      </w:pPr>
      <w:r>
        <w:rPr>
          <w:rFonts w:ascii="Times New Roman" w:hAnsi="Times New Roman"/>
        </w:rPr>
        <w:t>3.1 Indizien für Schwarzkasse bestätigt</w:t>
      </w:r>
    </w:p>
    <w:p>
      <w:pPr>
        <w:jc w:val="left"/>
      </w:pPr>
      <w:r>
        <w:t>Die forensische Prüfung hat nach 4 Wochen folgende Befunde: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Details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Kassenlücken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 2023–2025 wurden 47 Auslieferungstage identifiziert, an denen laut Fahrtenbuch 3+ Privatkunden beliefert wurden, ohne dass Tageseinnahmen über Kasse erfasst sind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Benford-Abweichung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Bareinnahmen über 200 EUR weichen signifikant von der natürlichen Verteilung ab (Chi-Quadrat-Test: p &lt; 0,001)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Zeugenbefragung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 von 12 befragten Monteuren haben auf Anonymitätszusage hin bestätigt, dass Bargeld für „Extras" entgegengenommen und nicht abgeliefert wurde; 1 Monteur hat Namen eines Vorgesetzten als „Empfänger" genannt (noch zu verifizieren)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Kassenfehlbetrag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Hochrechnung der Kassenlücken ergibt einen Betrag von ca. 780.000–950.000 EUR für den Untersuchungszeitraum — also etwas unter dem genannten 1,2 Mio.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3.2 Vorläufige Täter-Hypothesen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Personenkreis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Verdachtsgrad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Fahrer und Monteure (Feldebene)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Aussagen 3 Mitarbeiter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Teamleiter Montage (Name: vorläufig geschwärzt)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Indizienkette; Zeuge hat Vornamen genannt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Verwaltungsmitarbeiter (Buchhaltung)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Ungewöhnliche Kontobewegungen auf privaten Konten (über Bankauskunft noch nicht gesichert)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GF Heinrich-Eberhard Geisen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konkreter Hinweis; nicht ausgeschlossen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Steuerliche Bewertung</w:t>
      </w:r>
    </w:p>
    <w:p>
      <w:pPr>
        <w:jc w:val="left"/>
      </w:pPr>
      <w:r>
        <w:t>Sofern die nicht verbuchten Bargeldeinnahmen der Gesellschaft zugerechnet werden müssen (wovon auszugehen ist, da Arbeitnehmer im Rahmen ihrer Tätigkeit handelten), liegt folgendes steuerliches Risiko vor: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Steuerart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Berechnungsgrundlage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Nachzahlungsrisiko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Umsatzsteuer (19 %)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780.000 EUR Einnahmen brutto × 19/119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124.700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Körperschaftsteuer / GewSt auf verdeckte Einnahmen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780.000 EUR × 30 %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234.000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Lohnsteuer (soweit Arbeitnehmer bereichert)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 Arbeitgeberseite haftbar gemäß § 42d EStG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 von konkreten Beträgen je Person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Gesamtsteuerrisiko (geschätzt)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ca. 360.000–500.000 EUR</w:t>
            </w:r>
          </w:p>
        </w:tc>
      </w:tr>
    </w:tbl>
    <w:p>
      <w:pPr>
        <w:jc w:val="left"/>
      </w:pPr>
      <w:r>
        <w:t>Hinzu kommen Hinterziehungszinsen (§ 235 AO: 1,8 % p.a.) und möglicherweise Steuerzuschläge.</w:t>
      </w:r>
    </w:p>
    <w:p/>
    <w:p>
      <w:pPr>
        <w:pStyle w:val="Heading2"/>
      </w:pPr>
      <w:r>
        <w:rPr>
          <w:rFonts w:ascii="Times New Roman" w:hAnsi="Times New Roman"/>
        </w:rPr>
        <w:t>5. Maßnahmenplan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Abschluss forensische Buchprüfung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Rödl &amp; Partner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Entscheidung Selbstanzeige § 371 AO (Zeitfenster läuft)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Juli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 DWSP + Steuerbüro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Personalrechtliche Konsequenzen (Kündigungen)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 Abschluss Prüfung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GF + RA Arbeitsrecht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Schadensersatzklagen gegen betreffende Arbeitnehmer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Q4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 DWSP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Systemprozess-Änderungen (digitale Kasse, Quittungspflicht)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Q3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Prokristin Schattmann-Berger</w:t>
            </w:r>
          </w:p>
        </w:tc>
      </w:tr>
    </w:tbl>
    <w:p/>
    <w:p>
      <w:pPr>
        <w:jc w:val="left"/>
      </w:pPr>
      <w:r>
        <w:rPr>
          <w:i/>
        </w:rPr>
        <w:t>Erstellt: 05.05.2026 — Prof. Dr. Wieland Drosselberg</w:t>
      </w:r>
    </w:p>
    <w:p>
      <w:pPr>
        <w:jc w:val="left"/>
      </w:pPr>
      <w:r>
        <w:rPr>
          <w:i/>
        </w:rPr>
        <w:t>Referenz: HinSchG §§ 12 ff. (BGBl. 2023 I Nr. 140); § 370 AO; § 371 AO (Selbstanzeige); § 266 StGB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