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Strafrecht / Steuerrecht Interface: Schwarzkasse, § 266 StGB, § 370 AO</w:t>
      </w:r>
    </w:p>
    <w:p>
      <w:pPr>
        <w:jc w:val="left"/>
      </w:pPr>
      <w:r>
        <w:rPr>
          <w:b/>
        </w:rPr>
        <w:t>Akte:</w:t>
      </w:r>
      <w:r>
        <w:t xml:space="preserve"> DWSP/2026/GR-4417</w:t>
      </w:r>
    </w:p>
    <w:p>
      <w:pPr>
        <w:jc w:val="left"/>
      </w:pPr>
      <w:r>
        <w:rPr>
          <w:b/>
        </w:rPr>
        <w:t>Erstellt:</w:t>
      </w:r>
      <w:r>
        <w:t xml:space="preserve"> 06.05.2026</w:t>
      </w:r>
    </w:p>
    <w:p>
      <w:pPr>
        <w:jc w:val="left"/>
      </w:pPr>
      <w:r>
        <w:rPr>
          <w:b/>
        </w:rPr>
        <w:t>Bearbeiter:</w:t>
      </w:r>
      <w:r>
        <w:t xml:space="preserve"> Prof. Dr. Wieland Drosselberg (Gesellschaftsrecht) / StB/RA Peter Sandtenbruch (Partner, Steuerstrafrecht)</w:t>
      </w:r>
    </w:p>
    <w:p/>
    <w:p>
      <w:pPr>
        <w:pStyle w:val="Heading2"/>
      </w:pPr>
      <w:r>
        <w:rPr>
          <w:rFonts w:ascii="Times New Roman" w:hAnsi="Times New Roman"/>
        </w:rPr>
        <w:t>1. Überblick der Tatbestandsebenen</w:t>
      </w:r>
    </w:p>
    <w:p>
      <w:pPr>
        <w:pStyle w:val="Heading3"/>
      </w:pPr>
      <w:r>
        <w:rPr>
          <w:rFonts w:ascii="Times New Roman" w:hAnsi="Times New Roman"/>
        </w:rPr>
        <w:t>1.1 § 266 StGB — Untreue</w:t>
      </w:r>
    </w:p>
    <w:p>
      <w:pPr>
        <w:jc w:val="left"/>
      </w:pPr>
      <w:r>
        <w:rPr>
          <w:b/>
        </w:rPr>
        <w:t>Täterkreis:</w:t>
      </w:r>
      <w:r>
        <w:t xml:space="preserve"> Arbeitnehmer, die Barbarzahlungen von Kunden entgegennehmen und nicht an die Gesellschaft abführen, begehen eine Untreue gegenüber der Gesellschaft (Treubruchstatbestand, § 266 Abs. 1 Alt. 2 StGB). Voraussetzung: Vermögensbetreuungspflicht (bei Monteuren/Fahrern, die im Kundenkontakt handeln und kassieren sollen).</w:t>
      </w:r>
    </w:p>
    <w:p>
      <w:pPr>
        <w:jc w:val="left"/>
      </w:pPr>
      <w:r>
        <w:rPr>
          <w:b/>
        </w:rPr>
        <w:t>Strafmaß:</w:t>
      </w:r>
      <w:r>
        <w:t xml:space="preserve"> Bis zu 5 Jahre Freiheitsstrafe oder Geldstrafe; bei Bandenmäßigkeit oder besonders schwerem Fall (§ 266 Abs. 2 i.V.m. § 263 Abs. 3 StGB) bis zu 10 Jahre.</w:t>
      </w:r>
    </w:p>
    <w:p>
      <w:pPr>
        <w:jc w:val="left"/>
      </w:pPr>
      <w:r>
        <w:rPr>
          <w:b/>
        </w:rPr>
        <w:t>Verjährung:</w:t>
      </w:r>
      <w:r>
        <w:t xml:space="preserve"> § 78 StGB: 5 Jahre bei Vergehen (Regelfalle des § 266 StGB); bei besonders schweren Fällen 10 Jahre.</w:t>
      </w:r>
    </w:p>
    <w:p>
      <w:pPr>
        <w:jc w:val="left"/>
      </w:pPr>
      <w:r>
        <w:rPr>
          <w:b/>
        </w:rPr>
        <w:t>Betrag-Schwelle für besonders schweren Fall (§ 263 Abs. 3 Nr. 2 StGB analog):</w:t>
      </w:r>
      <w:r>
        <w:t xml:space="preserve"> 50.000 EUR Schaden. Bei einem Gesamtschaden von 780.000–950.000 EUR handelt es sich um einen besonders schweren Fall.</w:t>
      </w:r>
    </w:p>
    <w:p>
      <w:pPr>
        <w:pStyle w:val="Heading3"/>
      </w:pPr>
      <w:r>
        <w:rPr>
          <w:rFonts w:ascii="Times New Roman" w:hAnsi="Times New Roman"/>
        </w:rPr>
        <w:t>1.2 § 370 AO — Steuerhinterziehung</w:t>
      </w:r>
    </w:p>
    <w:p>
      <w:pPr>
        <w:jc w:val="left"/>
      </w:pPr>
      <w:r>
        <w:rPr>
          <w:b/>
        </w:rPr>
        <w:t>Tatbestand:</w:t>
      </w:r>
      <w:r>
        <w:t xml:space="preserve"> Die Gesellschaft (als Steuerschuldnerin) hätte die nicht verbuchten Barbarzahlungen in ihrer Umsatzsteuererklärung und Gewinnermittlung erfassen müssen. Soweit dies nicht geschehen ist, liegt (unabhängig von der Frage, wer intern die Schuld trägt) ein objektiver Steuerhinterziehungstatbestand vor. Für die strafrechtliche Verantwortung des GF gilt: Kenntnis oder grob fahrlässige Unkenntnis vom Kassenfehler ist Voraussetzung (§ 370 Abs. 1 Nr. 2 AO i.V.m. § 16 StGB).</w:t>
      </w:r>
    </w:p>
    <w:p>
      <w:pPr>
        <w:jc w:val="left"/>
      </w:pPr>
      <w:r>
        <w:rPr>
          <w:b/>
        </w:rPr>
        <w:t>Zurechnung an GF:</w:t>
      </w:r>
      <w:r>
        <w:t xml:space="preserve"> Aus der bisherigen Untersuchung ergeben sich keine Hinweise auf Kenntnis von Heinrich-Eberhard Geisen. Ein Organisationsverschulden (§ 130 OWiG) ist jedoch zu prüfen: Hat er ausreichende interne Kontrollsysteme eingerichtet?</w:t>
      </w:r>
    </w:p>
    <w:p>
      <w:pPr>
        <w:jc w:val="left"/>
      </w:pPr>
      <w:r>
        <w:rPr>
          <w:b/>
        </w:rPr>
        <w:t>Strafmaß § 370 AO:</w:t>
      </w:r>
      <w:r>
        <w:t xml:space="preserve"> Bis zu 5 Jahre Freiheitsstrafe; bei Hinterziehung über 50.000 EUR (BGHSt 53, 71 „Großer Steuerhinterziehungsfall") in der Regel nicht mehr auf Bewährung aussetzbar.</w:t>
      </w:r>
    </w:p>
    <w:p/>
    <w:p>
      <w:pPr>
        <w:pStyle w:val="Heading2"/>
      </w:pPr>
      <w:r>
        <w:rPr>
          <w:rFonts w:ascii="Times New Roman" w:hAnsi="Times New Roman"/>
        </w:rPr>
        <w:t>2. Risikomatrix</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Szenario</w:t>
            </w:r>
          </w:p>
        </w:tc>
        <w:tc>
          <w:tcPr>
            <w:tcW w:type="dxa" w:w="3024"/>
          </w:tcPr>
          <w:p>
            <w:r>
              <w:rPr>
                <w:rFonts w:ascii="Times New Roman" w:hAnsi="Times New Roman"/>
                <w:b/>
                <w:sz w:val="20"/>
              </w:rPr>
              <w:t>Wahrscheinlichkeit</w:t>
            </w:r>
          </w:p>
        </w:tc>
        <w:tc>
          <w:tcPr>
            <w:tcW w:type="dxa" w:w="3024"/>
          </w:tcPr>
          <w:p>
            <w:r>
              <w:rPr>
                <w:rFonts w:ascii="Times New Roman" w:hAnsi="Times New Roman"/>
                <w:b/>
                <w:sz w:val="20"/>
              </w:rPr>
              <w:t>Konsequenz</w:t>
            </w:r>
          </w:p>
        </w:tc>
      </w:tr>
      <w:tr>
        <w:tc>
          <w:tcPr>
            <w:tcW w:type="dxa" w:w="3024"/>
          </w:tcPr>
          <w:p>
            <w:r>
              <w:rPr>
                <w:rFonts w:ascii="Times New Roman" w:hAnsi="Times New Roman"/>
                <w:sz w:val="20"/>
              </w:rPr>
              <w:t>Selbstanzeige (§ 371 AO) vor Entdeckung erfolgreich</w:t>
            </w:r>
          </w:p>
        </w:tc>
        <w:tc>
          <w:tcPr>
            <w:tcW w:type="dxa" w:w="3024"/>
          </w:tcPr>
          <w:p>
            <w:r>
              <w:rPr>
                <w:rFonts w:ascii="Times New Roman" w:hAnsi="Times New Roman"/>
                <w:sz w:val="20"/>
              </w:rPr>
              <w:t>Hoch (ca. 75 %), wenn vollständig</w:t>
            </w:r>
          </w:p>
        </w:tc>
        <w:tc>
          <w:tcPr>
            <w:tcW w:type="dxa" w:w="3024"/>
          </w:tcPr>
          <w:p>
            <w:r>
              <w:rPr>
                <w:rFonts w:ascii="Times New Roman" w:hAnsi="Times New Roman"/>
                <w:sz w:val="20"/>
              </w:rPr>
              <w:t>Straffreiheit für Gesellschaft / GF bei vollständiger Nachzahlung; keine strafrechtlichen Folgen für Steuerhinterziehung</w:t>
            </w:r>
          </w:p>
        </w:tc>
      </w:tr>
      <w:tr>
        <w:tc>
          <w:tcPr>
            <w:tcW w:type="dxa" w:w="3024"/>
          </w:tcPr>
          <w:p>
            <w:r>
              <w:rPr>
                <w:rFonts w:ascii="Times New Roman" w:hAnsi="Times New Roman"/>
                <w:sz w:val="20"/>
              </w:rPr>
              <w:t>Entdeckung durch Betriebsprüfung ohne Selbstanzeige</w:t>
            </w:r>
          </w:p>
        </w:tc>
        <w:tc>
          <w:tcPr>
            <w:tcW w:type="dxa" w:w="3024"/>
          </w:tcPr>
          <w:p>
            <w:r>
              <w:rPr>
                <w:rFonts w:ascii="Times New Roman" w:hAnsi="Times New Roman"/>
                <w:sz w:val="20"/>
              </w:rPr>
              <w:t>Mittel (ca. 30 % in den nächsten 3 Jahren)</w:t>
            </w:r>
          </w:p>
        </w:tc>
        <w:tc>
          <w:tcPr>
            <w:tcW w:type="dxa" w:w="3024"/>
          </w:tcPr>
          <w:p>
            <w:r>
              <w:rPr>
                <w:rFonts w:ascii="Times New Roman" w:hAnsi="Times New Roman"/>
                <w:sz w:val="20"/>
              </w:rPr>
              <w:t>Strafverfahren gegen GF (§ 370 AO), Steuernachzahlung + Zinsen + ggf. Zuschlag</w:t>
            </w:r>
          </w:p>
        </w:tc>
      </w:tr>
      <w:tr>
        <w:tc>
          <w:tcPr>
            <w:tcW w:type="dxa" w:w="3024"/>
          </w:tcPr>
          <w:p>
            <w:r>
              <w:rPr>
                <w:rFonts w:ascii="Times New Roman" w:hAnsi="Times New Roman"/>
                <w:sz w:val="20"/>
              </w:rPr>
              <w:t>Strafanzeige durch einen der befragten Mitarbeiter</w:t>
            </w:r>
          </w:p>
        </w:tc>
        <w:tc>
          <w:tcPr>
            <w:tcW w:type="dxa" w:w="3024"/>
          </w:tcPr>
          <w:p>
            <w:r>
              <w:rPr>
                <w:rFonts w:ascii="Times New Roman" w:hAnsi="Times New Roman"/>
                <w:sz w:val="20"/>
              </w:rPr>
              <w:t>Niedrig</w:t>
            </w:r>
          </w:p>
        </w:tc>
        <w:tc>
          <w:tcPr>
            <w:tcW w:type="dxa" w:w="3024"/>
          </w:tcPr>
          <w:p>
            <w:r>
              <w:rPr>
                <w:rFonts w:ascii="Times New Roman" w:hAnsi="Times New Roman"/>
                <w:sz w:val="20"/>
              </w:rPr>
              <w:t>Strafverfahren § 266 StGB gegen Fahrer/Monteure</w:t>
            </w:r>
          </w:p>
        </w:tc>
      </w:tr>
      <w:tr>
        <w:tc>
          <w:tcPr>
            <w:tcW w:type="dxa" w:w="3024"/>
          </w:tcPr>
          <w:p>
            <w:r>
              <w:rPr>
                <w:rFonts w:ascii="Times New Roman" w:hAnsi="Times New Roman"/>
                <w:sz w:val="20"/>
              </w:rPr>
              <w:t>Querverbindung zu Wittmann-Holding (Informationsleck)</w:t>
            </w:r>
          </w:p>
        </w:tc>
        <w:tc>
          <w:tcPr>
            <w:tcW w:type="dxa" w:w="3024"/>
          </w:tcPr>
          <w:p>
            <w:r>
              <w:rPr>
                <w:rFonts w:ascii="Times New Roman" w:hAnsi="Times New Roman"/>
                <w:sz w:val="20"/>
              </w:rPr>
              <w:t>Mittel</w:t>
            </w:r>
          </w:p>
        </w:tc>
        <w:tc>
          <w:tcPr>
            <w:tcW w:type="dxa" w:w="3024"/>
          </w:tcPr>
          <w:p>
            <w:r>
              <w:rPr>
                <w:rFonts w:ascii="Times New Roman" w:hAnsi="Times New Roman"/>
                <w:sz w:val="20"/>
              </w:rPr>
              <w:t>Nutzung der HinSchG-Affäre als weiterer Squeeze-out-Druckhebel</w:t>
            </w:r>
          </w:p>
        </w:tc>
      </w:tr>
    </w:tbl>
    <w:p/>
    <w:p>
      <w:pPr>
        <w:pStyle w:val="Heading2"/>
      </w:pPr>
      <w:r>
        <w:rPr>
          <w:rFonts w:ascii="Times New Roman" w:hAnsi="Times New Roman"/>
        </w:rPr>
        <w:t>3. Selbstanzeige gemäß § 371 AO</w:t>
      </w:r>
    </w:p>
    <w:p>
      <w:pPr>
        <w:pStyle w:val="Heading3"/>
      </w:pPr>
      <w:r>
        <w:rPr>
          <w:rFonts w:ascii="Times New Roman" w:hAnsi="Times New Roman"/>
        </w:rPr>
        <w:t>3.1 Voraussetzungen</w:t>
      </w:r>
    </w:p>
    <w:p>
      <w:pPr>
        <w:jc w:val="left"/>
      </w:pPr>
      <w:r>
        <w:t>Die strafbefreiende Selbstanzeige (§ 371 Abs. 1 AO) muss:</w:t>
      </w:r>
    </w:p>
    <w:p>
      <w:pPr>
        <w:pStyle w:val="ListNumber"/>
      </w:pPr>
      <w:r>
        <w:rPr>
          <w:b/>
        </w:rPr>
        <w:t>Vollständig</w:t>
      </w:r>
      <w:r>
        <w:t xml:space="preserve"> sein (keine Teilselbstanzeige mehr seit dem Schwarzgeldbekämpfungsgesetz 2011): Alle unverjährten Zeiträume müssen offenbart werden</w:t>
      </w:r>
    </w:p>
    <w:p>
      <w:pPr>
        <w:pStyle w:val="ListNumber"/>
      </w:pPr>
      <w:r>
        <w:rPr>
          <w:b/>
        </w:rPr>
        <w:t>Vor Tatentdeckung</w:t>
      </w:r>
      <w:r>
        <w:t xml:space="preserve"> eingereicht werden: Tatentdeckung beginnt, wenn die Finanzbehörde auf konkrete Anhaltspunkte für die Tat gestoßen ist; eine HinSchG-Meldung allein ist noch keine Tatentdeckung</w:t>
      </w:r>
    </w:p>
    <w:p>
      <w:pPr>
        <w:pStyle w:val="ListNumber"/>
      </w:pPr>
      <w:r>
        <w:t xml:space="preserve">Hinterziehungssteuern und Zinsen (§ 235 AO: 1,8 % p.a.) müssen </w:t>
      </w:r>
      <w:r>
        <w:rPr>
          <w:b/>
        </w:rPr>
        <w:t>fristgerecht</w:t>
      </w:r>
      <w:r>
        <w:t xml:space="preserve"> nachgezahlt werden (§ 371 Abs. 3 AO: 4 Wochen nach Aufforderung des Finanzamts)</w:t>
      </w:r>
    </w:p>
    <w:p>
      <w:pPr>
        <w:pStyle w:val="Heading3"/>
      </w:pPr>
      <w:r>
        <w:rPr>
          <w:rFonts w:ascii="Times New Roman" w:hAnsi="Times New Roman"/>
        </w:rPr>
        <w:t>3.2 Zeitfenster</w:t>
      </w:r>
    </w:p>
    <w:p>
      <w:pPr>
        <w:jc w:val="left"/>
      </w:pPr>
      <w:r>
        <w:t>Solange die Finanzamtsabteilung für Betriebsprüfungen keine Kenntnis von der Schwarzkasse hat, ist das Selbstanzeige-Zeitfenster offen. Das Finanzamt Paderborn hat zuletzt 2021 eine reguläre Betriebsprüfung durchgeführt; die nächste ist turnusmäßig nicht vor 2026/2027 zu erwarten. Jedoch kann die HinSchG-Meldung intern (sofern sie die Verwaltung erreicht) auch an externe Behörden weitergeleitet werden, wenn ein Verdacht auf Straftaten vorliegt (§ 4 HinSchG — externe Meldekanäle).</w:t>
      </w:r>
    </w:p>
    <w:p>
      <w:pPr>
        <w:jc w:val="left"/>
      </w:pPr>
      <w:r>
        <w:rPr>
          <w:b/>
        </w:rPr>
        <w:t>Empfehlung: Selbstanzeige unverzüglich nach Abschluss der forensischen Buchprüfung, voraussichtlich August 2026.</w:t>
      </w:r>
    </w:p>
    <w:p>
      <w:pPr>
        <w:pStyle w:val="Heading3"/>
      </w:pPr>
      <w:r>
        <w:rPr>
          <w:rFonts w:ascii="Times New Roman" w:hAnsi="Times New Roman"/>
        </w:rPr>
        <w:t>3.3 Folgeabzug § 371 Abs. 2 AO (Ausschlüsse)</w:t>
      </w:r>
    </w:p>
    <w:p>
      <w:pPr>
        <w:jc w:val="left"/>
      </w:pPr>
      <w:r>
        <w:t>Straffreiheit ist ausgeschlossen, wenn:</w:t>
      </w:r>
    </w:p>
    <w:p>
      <w:pPr>
        <w:pStyle w:val="ListBullet"/>
      </w:pPr>
      <w:r>
        <w:t>Betriebsprüfung bereits begonnen wurde (Ausschlussgrund noch nicht gegeben)</w:t>
      </w:r>
    </w:p>
    <w:p>
      <w:pPr>
        <w:pStyle w:val="ListBullet"/>
      </w:pPr>
      <w:r>
        <w:t>Tat bereits entdeckt ist (noch nicht der Fall)</w:t>
      </w:r>
    </w:p>
    <w:p>
      <w:pPr>
        <w:pStyle w:val="ListBullet"/>
      </w:pPr>
      <w:r>
        <w:t>Steuerprüfer bereits bekannt gegeben hat, dass er prüfen wird (nicht gegeben)</w:t>
      </w:r>
    </w:p>
    <w:p>
      <w:pPr>
        <w:pStyle w:val="ListBullet"/>
      </w:pPr>
      <w:r>
        <w:t>Hinterziehungsbetrag &gt; 25.000 EUR pro Tat — hier greift der besondere Strafzuschlag nach § 398a AO: Einstellung des Verfahrens nur gegen Zahlung von 10 % (Hinterziehung 25.001–100.000 EUR), 15 % (&gt; 100.000 EUR) des Hinterziehungsbetrages zusätzlich</w:t>
      </w:r>
    </w:p>
    <w:p/>
    <w:p>
      <w:pPr>
        <w:pStyle w:val="Heading2"/>
      </w:pPr>
      <w:r>
        <w:rPr>
          <w:rFonts w:ascii="Times New Roman" w:hAnsi="Times New Roman"/>
        </w:rPr>
        <w:t>4. Gesellschaftsrechtliche Querverbindungen</w:t>
      </w:r>
    </w:p>
    <w:p>
      <w:pPr>
        <w:jc w:val="left"/>
      </w:pPr>
      <w:r>
        <w:t>Die HinSchG-Affäre hat gesellschaftsrechtliche Implikationen:</w:t>
      </w:r>
    </w:p>
    <w:p>
      <w:pPr>
        <w:pStyle w:val="ListNumber"/>
      </w:pPr>
      <w:r>
        <w:rPr>
          <w:b/>
        </w:rPr>
        <w:t>Wittmann Holding als Druckmittel:</w:t>
      </w:r>
      <w:r>
        <w:t xml:space="preserve"> Dr. Werthebach hat in einer E-Mail vom 20.04.2026 (s. Aktenstück eml/) die HinSchG-Meldung erwähnt und angedeutet, sie könnte für die Verhandlungen über den Squeeze-out relevant sein. Dies ist unzulässig: Eine HinSchG-Meldung darf nicht als Verhandlungsmasse in zivilrechtlichen Streitigkeiten instrumentalisiert werden (§ 36 HinSchG, Diskriminierungsverbot).</w:t>
      </w:r>
    </w:p>
    <w:p>
      <w:pPr>
        <w:pStyle w:val="ListNumber"/>
      </w:pPr>
      <w:r>
        <w:rPr>
          <w:b/>
        </w:rPr>
        <w:t>GF-Haftung:</w:t>
      </w:r>
      <w:r>
        <w:t xml:space="preserve"> Wenn sich herausstellt, dass der GF organisatorisch mitverantwortlich ist (unzureichende interne Kontrollsysteme), erhöht sich der Haftungsanspruch nach § 43 GmbHG entsprechend.</w:t>
      </w:r>
    </w:p>
    <w:p>
      <w:pPr>
        <w:pStyle w:val="ListNumber"/>
      </w:pPr>
      <w:r>
        <w:rPr>
          <w:b/>
        </w:rPr>
        <w:t>Bilanzrelevanz:</w:t>
      </w:r>
      <w:r>
        <w:t xml:space="preserve"> Mögliche Steuernachzahlungen (bis 500.000 EUR) sind als Rückstellung in der Bilanz 2026 zu passivieren, sobald sie hinreichend wahrscheinlich sind.</w:t>
      </w:r>
    </w:p>
    <w:p/>
    <w:p>
      <w:pPr>
        <w:jc w:val="left"/>
      </w:pPr>
      <w:r>
        <w:rPr>
          <w:i/>
        </w:rPr>
        <w:t>Erstellt: 06.05.2026 — Prof. Dr. Wieland Drosselberg / StB/RA Peter Sandtenbruch</w:t>
      </w:r>
    </w:p>
    <w:p>
      <w:pPr>
        <w:jc w:val="left"/>
      </w:pPr>
      <w:r>
        <w:rPr>
          <w:i/>
        </w:rPr>
        <w:t>Referenz: § 266 StGB (dejure.org/gesetze/StGB/266.html); § 370 AO; § 371 AO; BGHSt 53, 71; § 398a AO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