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Gegengutachten: IDW S 1 Peer-Review und Methodenrügen</w:t>
      </w:r>
    </w:p>
    <w:p>
      <w:pPr>
        <w:jc w:val="left"/>
      </w:pPr>
      <w:r>
        <w:rPr>
          <w:b/>
        </w:rPr>
        <w:t>Akte:</w:t>
      </w:r>
      <w:r>
        <w:t xml:space="preserve"> DWSP/2026/GR-4417</w:t>
      </w:r>
    </w:p>
    <w:p>
      <w:pPr>
        <w:jc w:val="left"/>
      </w:pPr>
      <w:r>
        <w:rPr>
          <w:b/>
        </w:rPr>
        <w:t>Erstellt:</w:t>
      </w:r>
      <w:r>
        <w:t xml:space="preserve"> 07.05.2026</w:t>
      </w:r>
    </w:p>
    <w:p>
      <w:pPr>
        <w:jc w:val="left"/>
      </w:pPr>
      <w:r>
        <w:rPr>
          <w:b/>
        </w:rPr>
        <w:t>Bearbeiter:</w:t>
      </w:r>
      <w:r>
        <w:t xml:space="preserve"> Prof. Dr. Wieland Drosselberg / WP Dr. Norbert Heidekämper</w:t>
      </w:r>
    </w:p>
    <w:p/>
    <w:p>
      <w:pPr>
        <w:pStyle w:val="Heading2"/>
      </w:pPr>
      <w:r>
        <w:rPr>
          <w:rFonts w:ascii="Times New Roman" w:hAnsi="Times New Roman"/>
        </w:rPr>
        <w:t>1. Hintergrund: Gegengutachten der Wittmann Holding</w:t>
      </w:r>
    </w:p>
    <w:p>
      <w:pPr>
        <w:jc w:val="left"/>
      </w:pPr>
      <w:r>
        <w:t>Die Kanzlei der Wittmann Family Holding KG (Brandt, Diekmann &amp; Lüke Rechtsanwälte, Gütersloh) hat am 25.04.2026 eine eigene Unternehmensbewertung durch die WP-Gesellschaft Schneiders &amp; Konjetzky GmbH (Bielefeld) vorgelegt. Das Gegengutachten kommt zu einem Ertragswert von 6,1 Mio. EUR — also deutlich unter dem Heidekämper-Gutachten (9,8 Mio. EUR), aber immer noch weit über dem Buchwert (3,4 Mio. EUR).</w:t>
      </w:r>
    </w:p>
    <w:p/>
    <w:p>
      <w:pPr>
        <w:pStyle w:val="Heading2"/>
      </w:pPr>
      <w:r>
        <w:rPr>
          <w:rFonts w:ascii="Times New Roman" w:hAnsi="Times New Roman"/>
        </w:rPr>
        <w:t>2. Methodenrügen gegen das Wittmann-Gutachten</w:t>
      </w:r>
    </w:p>
    <w:p>
      <w:pPr>
        <w:pStyle w:val="Heading3"/>
      </w:pPr>
      <w:r>
        <w:rPr>
          <w:rFonts w:ascii="Times New Roman" w:hAnsi="Times New Roman"/>
        </w:rPr>
        <w:t>2.1 Basiszinssatz</w:t>
      </w:r>
    </w:p>
    <w:p>
      <w:pPr>
        <w:jc w:val="left"/>
      </w:pPr>
      <w:r>
        <w:rPr>
          <w:b/>
        </w:rPr>
        <w:t>Wittmann-Gutachten:</w:t>
      </w:r>
      <w:r>
        <w:t xml:space="preserve"> Basiszinssatz 3,5 % (Bundesbank-Daten Januar 2026)</w:t>
      </w:r>
    </w:p>
    <w:p>
      <w:pPr>
        <w:jc w:val="left"/>
      </w:pPr>
      <w:r>
        <w:rPr>
          <w:b/>
        </w:rPr>
        <w:t>Kritik:</w:t>
      </w:r>
      <w:r>
        <w:t xml:space="preserve"> Der maßgebliche Stichtag ist der 14.04.2026 (Gesellschafterversammlung). Die Bundesbank-Veröffentlichung für April 2026 weist einen Basiszinssatz von 2,45 % aus. Das Wittmann-Gutachten hat einen zu alten Basiszinssatz verwendet und damit den Kapitalisierungszinssatz um ca. 1 Prozentpunkt überhöht. Dies allein reduziert den Ertragswert mechanisch um ca. 15 % gegenüber dem korrekten Ansatz.</w:t>
      </w:r>
    </w:p>
    <w:p>
      <w:pPr>
        <w:pStyle w:val="Heading3"/>
      </w:pPr>
      <w:r>
        <w:rPr>
          <w:rFonts w:ascii="Times New Roman" w:hAnsi="Times New Roman"/>
        </w:rPr>
        <w:t>2.2 Marktrisikoprämie</w:t>
      </w:r>
    </w:p>
    <w:p>
      <w:pPr>
        <w:jc w:val="left"/>
      </w:pPr>
      <w:r>
        <w:rPr>
          <w:b/>
        </w:rPr>
        <w:t>Wittmann-Gutachten:</w:t>
      </w:r>
      <w:r>
        <w:t xml:space="preserve"> Marktrisikoprämie 8,0 % (oberes Ende der IDW-FAUB-Bandbreite)</w:t>
      </w:r>
    </w:p>
    <w:p>
      <w:pPr>
        <w:jc w:val="left"/>
      </w:pPr>
      <w:r>
        <w:rPr>
          <w:b/>
        </w:rPr>
        <w:t>Kritik:</w:t>
      </w:r>
      <w:r>
        <w:t xml:space="preserve"> Die IDW-FAUB-Empfehlung lautete auch im April 2026 auf eine Bandbreite von 6,5–8,0 % mit dem Schwerpunkt bei 7,0 %. Die Wahl des oberen Endes ohne besondere Begründung verletzt das Grundgebot der Objektivität nach IDW S 1 Rz. 89 ff. Ein unparteiischer Gutachter hätte 7,0 % (Mitte) oder 7,5 % (konservative Mitte) angesetzt.</w:t>
      </w:r>
    </w:p>
    <w:p>
      <w:pPr>
        <w:pStyle w:val="Heading3"/>
      </w:pPr>
      <w:r>
        <w:rPr>
          <w:rFonts w:ascii="Times New Roman" w:hAnsi="Times New Roman"/>
        </w:rPr>
        <w:t>2.3 Betafaktor</w:t>
      </w:r>
    </w:p>
    <w:p>
      <w:pPr>
        <w:jc w:val="left"/>
      </w:pPr>
      <w:r>
        <w:rPr>
          <w:b/>
        </w:rPr>
        <w:t>Wittmann-Gutachten:</w:t>
      </w:r>
      <w:r>
        <w:t xml:space="preserve"> Beta (unverschuldet) 1,15 (Begründung: „erhöhtes Klumpenrisiko durch Paderborner Marktkonzentration und Polska-Anlaufverluste")</w:t>
      </w:r>
    </w:p>
    <w:p>
      <w:pPr>
        <w:jc w:val="left"/>
      </w:pPr>
      <w:r>
        <w:rPr>
          <w:b/>
        </w:rPr>
        <w:t>Kritik:</w:t>
      </w:r>
      <w:r>
        <w:t xml:space="preserve"> Die Polska-Anlaufverluste sind beim IDW S 1 korrekt als einmalige, außerordentliche Ereignisse aus der Ertragsnormalisierung herauszuhalten (IDW S 1 Rz. 66 ff.). Sie erhöhen nicht dauerhaft das Betarisiko. Der Klumpenrisiko-Zuschlag ist durch keine Peer-Group-Daten belegt. WP Heidekämper hält einen Beta-Wert von 0,90 (unverschuldet) für sachgerechter.</w:t>
      </w:r>
    </w:p>
    <w:p>
      <w:pPr>
        <w:pStyle w:val="Heading3"/>
      </w:pPr>
      <w:r>
        <w:rPr>
          <w:rFonts w:ascii="Times New Roman" w:hAnsi="Times New Roman"/>
        </w:rPr>
        <w:t>2.4 Wachstumsabschlag</w:t>
      </w:r>
    </w:p>
    <w:p>
      <w:pPr>
        <w:jc w:val="left"/>
      </w:pPr>
      <w:r>
        <w:rPr>
          <w:b/>
        </w:rPr>
        <w:t>Wittmann-Gutachten:</w:t>
      </w:r>
      <w:r>
        <w:t xml:space="preserve"> Wachstumsabschlag g = 0,5 %</w:t>
      </w:r>
    </w:p>
    <w:p>
      <w:pPr>
        <w:jc w:val="left"/>
      </w:pPr>
      <w:r>
        <w:rPr>
          <w:b/>
        </w:rPr>
        <w:t>Kritik:</w:t>
      </w:r>
      <w:r>
        <w:t xml:space="preserve"> Das Unternehmen hat über 5 Jahre ein Umsatz-CAGR von 9,2 % erzielt; selbst unter konservativen Annahmen (Marktsättigung, Konjunkturzyklen) ist ein Nominalwachstum von mindestens 1,5 % für einen Premiumhersteller in einem strukturell wachsenden Segment (gehobene Massivholzküchen) belegt. Ein Wachstumsabschlag von 0,5 % impliziert reale Schrumpfung und ist nicht marktgerecht.</w:t>
      </w:r>
    </w:p>
    <w:p>
      <w:pPr>
        <w:pStyle w:val="Heading3"/>
      </w:pPr>
      <w:r>
        <w:rPr>
          <w:rFonts w:ascii="Times New Roman" w:hAnsi="Times New Roman"/>
        </w:rPr>
        <w:t>2.5 Planungsansätze</w:t>
      </w:r>
    </w:p>
    <w:p>
      <w:pPr>
        <w:jc w:val="left"/>
      </w:pPr>
      <w:r>
        <w:rPr>
          <w:b/>
        </w:rPr>
        <w:t>Wittmann-Gutachten:</w:t>
      </w:r>
      <w:r>
        <w:t xml:space="preserve"> Umsatzplanung 2026: 22,0 Mio. EUR (Rückgang gegenüber 2025: 24,5 Mio. EUR)</w:t>
      </w:r>
    </w:p>
    <w:p>
      <w:pPr>
        <w:jc w:val="left"/>
      </w:pPr>
      <w:r>
        <w:rPr>
          <w:b/>
        </w:rPr>
        <w:t>Kritik:</w:t>
      </w:r>
      <w:r>
        <w:t xml:space="preserve"> Der Auftragsbestand der Gesellschaft per April 2026 beträgt nach Auskunft des GF bereits 8,1 Mio. EUR (ca. 8 Monate Auftragssicherheit). Ein Umsatzrückgang auf 22 Mio. EUR ist angesichts der Warteliste von 14 Monaten unrealistisch. Das Wittmann-Gutachten hat offensichtlich die operativen Kennzahlen nicht hinreichend geprüft.</w:t>
      </w:r>
    </w:p>
    <w:p/>
    <w:p>
      <w:pPr>
        <w:pStyle w:val="Heading2"/>
      </w:pPr>
      <w:r>
        <w:rPr>
          <w:rFonts w:ascii="Times New Roman" w:hAnsi="Times New Roman"/>
        </w:rPr>
        <w:t>3. Ergebnis des Peer-Reviews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Parameter</w:t>
            </w:r>
          </w:p>
        </w:tc>
        <w:tc>
          <w:tcPr>
            <w:tcW w:type="dxa" w:w="2268"/>
          </w:tcPr>
          <w:p>
            <w:r>
              <w:rPr>
                <w:rFonts w:ascii="Times New Roman" w:hAnsi="Times New Roman"/>
                <w:b/>
                <w:sz w:val="20"/>
              </w:rPr>
              <w:t>WP Heidekämper (Mandant)</w:t>
            </w:r>
          </w:p>
        </w:tc>
        <w:tc>
          <w:tcPr>
            <w:tcW w:type="dxa" w:w="2268"/>
          </w:tcPr>
          <w:p>
            <w:r>
              <w:rPr>
                <w:rFonts w:ascii="Times New Roman" w:hAnsi="Times New Roman"/>
                <w:b/>
                <w:sz w:val="20"/>
              </w:rPr>
              <w:t>WP Schneiders &amp; Konjetzky (Wittmann)</w:t>
            </w:r>
          </w:p>
        </w:tc>
        <w:tc>
          <w:tcPr>
            <w:tcW w:type="dxa" w:w="2268"/>
          </w:tcPr>
          <w:p>
            <w:r>
              <w:rPr>
                <w:rFonts w:ascii="Times New Roman" w:hAnsi="Times New Roman"/>
                <w:b/>
                <w:sz w:val="20"/>
              </w:rPr>
              <w:t>Bandbreite IDW</w:t>
            </w:r>
          </w:p>
        </w:tc>
      </w:tr>
      <w:tr>
        <w:tc>
          <w:tcPr>
            <w:tcW w:type="dxa" w:w="2268"/>
          </w:tcPr>
          <w:p>
            <w:r>
              <w:rPr>
                <w:rFonts w:ascii="Times New Roman" w:hAnsi="Times New Roman"/>
                <w:sz w:val="20"/>
              </w:rPr>
              <w:t>Basiszinssatz</w:t>
            </w:r>
          </w:p>
        </w:tc>
        <w:tc>
          <w:tcPr>
            <w:tcW w:type="dxa" w:w="2268"/>
          </w:tcPr>
          <w:p>
            <w:r>
              <w:rPr>
                <w:rFonts w:ascii="Times New Roman" w:hAnsi="Times New Roman"/>
                <w:sz w:val="20"/>
              </w:rPr>
              <w:t>2,5 %</w:t>
            </w:r>
          </w:p>
        </w:tc>
        <w:tc>
          <w:tcPr>
            <w:tcW w:type="dxa" w:w="2268"/>
          </w:tcPr>
          <w:p>
            <w:r>
              <w:rPr>
                <w:rFonts w:ascii="Times New Roman" w:hAnsi="Times New Roman"/>
                <w:sz w:val="20"/>
              </w:rPr>
              <w:t>3,5 %</w:t>
            </w:r>
          </w:p>
        </w:tc>
        <w:tc>
          <w:tcPr>
            <w:tcW w:type="dxa" w:w="2268"/>
          </w:tcPr>
          <w:p>
            <w:r>
              <w:rPr>
                <w:rFonts w:ascii="Times New Roman" w:hAnsi="Times New Roman"/>
                <w:sz w:val="20"/>
              </w:rPr>
              <w:t>Bundesbank Stichtag</w:t>
            </w:r>
          </w:p>
        </w:tc>
      </w:tr>
      <w:tr>
        <w:tc>
          <w:tcPr>
            <w:tcW w:type="dxa" w:w="2268"/>
          </w:tcPr>
          <w:p>
            <w:r>
              <w:rPr>
                <w:rFonts w:ascii="Times New Roman" w:hAnsi="Times New Roman"/>
                <w:sz w:val="20"/>
              </w:rPr>
              <w:t>Marktrisikoprämie</w:t>
            </w:r>
          </w:p>
        </w:tc>
        <w:tc>
          <w:tcPr>
            <w:tcW w:type="dxa" w:w="2268"/>
          </w:tcPr>
          <w:p>
            <w:r>
              <w:rPr>
                <w:rFonts w:ascii="Times New Roman" w:hAnsi="Times New Roman"/>
                <w:sz w:val="20"/>
              </w:rPr>
              <w:t>7,0 %</w:t>
            </w:r>
          </w:p>
        </w:tc>
        <w:tc>
          <w:tcPr>
            <w:tcW w:type="dxa" w:w="2268"/>
          </w:tcPr>
          <w:p>
            <w:r>
              <w:rPr>
                <w:rFonts w:ascii="Times New Roman" w:hAnsi="Times New Roman"/>
                <w:sz w:val="20"/>
              </w:rPr>
              <w:t>8,0 %</w:t>
            </w:r>
          </w:p>
        </w:tc>
        <w:tc>
          <w:tcPr>
            <w:tcW w:type="dxa" w:w="2268"/>
          </w:tcPr>
          <w:p>
            <w:r>
              <w:rPr>
                <w:rFonts w:ascii="Times New Roman" w:hAnsi="Times New Roman"/>
                <w:sz w:val="20"/>
              </w:rPr>
              <w:t>6,5–8,0 %</w:t>
            </w:r>
          </w:p>
        </w:tc>
      </w:tr>
      <w:tr>
        <w:tc>
          <w:tcPr>
            <w:tcW w:type="dxa" w:w="2268"/>
          </w:tcPr>
          <w:p>
            <w:r>
              <w:rPr>
                <w:rFonts w:ascii="Times New Roman" w:hAnsi="Times New Roman"/>
                <w:sz w:val="20"/>
              </w:rPr>
              <w:t>Betafaktor (unverschuldet)</w:t>
            </w:r>
          </w:p>
        </w:tc>
        <w:tc>
          <w:tcPr>
            <w:tcW w:type="dxa" w:w="2268"/>
          </w:tcPr>
          <w:p>
            <w:r>
              <w:rPr>
                <w:rFonts w:ascii="Times New Roman" w:hAnsi="Times New Roman"/>
                <w:sz w:val="20"/>
              </w:rPr>
              <w:t>0,90</w:t>
            </w:r>
          </w:p>
        </w:tc>
        <w:tc>
          <w:tcPr>
            <w:tcW w:type="dxa" w:w="2268"/>
          </w:tcPr>
          <w:p>
            <w:r>
              <w:rPr>
                <w:rFonts w:ascii="Times New Roman" w:hAnsi="Times New Roman"/>
                <w:sz w:val="20"/>
              </w:rPr>
              <w:t>1,15</w:t>
            </w:r>
          </w:p>
        </w:tc>
        <w:tc>
          <w:tcPr>
            <w:tcW w:type="dxa" w:w="2268"/>
          </w:tcPr>
          <w:p>
            <w:r>
              <w:rPr>
                <w:rFonts w:ascii="Times New Roman" w:hAnsi="Times New Roman"/>
                <w:sz w:val="20"/>
              </w:rPr>
              <w:t>0,8–1,1 typisch</w:t>
            </w:r>
          </w:p>
        </w:tc>
      </w:tr>
      <w:tr>
        <w:tc>
          <w:tcPr>
            <w:tcW w:type="dxa" w:w="2268"/>
          </w:tcPr>
          <w:p>
            <w:r>
              <w:rPr>
                <w:rFonts w:ascii="Times New Roman" w:hAnsi="Times New Roman"/>
                <w:sz w:val="20"/>
              </w:rPr>
              <w:t>Wachstumsabschlag g</w:t>
            </w:r>
          </w:p>
        </w:tc>
        <w:tc>
          <w:tcPr>
            <w:tcW w:type="dxa" w:w="2268"/>
          </w:tcPr>
          <w:p>
            <w:r>
              <w:rPr>
                <w:rFonts w:ascii="Times New Roman" w:hAnsi="Times New Roman"/>
                <w:sz w:val="20"/>
              </w:rPr>
              <w:t>1,5 %</w:t>
            </w:r>
          </w:p>
        </w:tc>
        <w:tc>
          <w:tcPr>
            <w:tcW w:type="dxa" w:w="2268"/>
          </w:tcPr>
          <w:p>
            <w:r>
              <w:rPr>
                <w:rFonts w:ascii="Times New Roman" w:hAnsi="Times New Roman"/>
                <w:sz w:val="20"/>
              </w:rPr>
              <w:t>0,5 %</w:t>
            </w:r>
          </w:p>
        </w:tc>
        <w:tc>
          <w:tcPr>
            <w:tcW w:type="dxa" w:w="2268"/>
          </w:tcPr>
          <w:p>
            <w:r>
              <w:rPr>
                <w:rFonts w:ascii="Times New Roman" w:hAnsi="Times New Roman"/>
                <w:sz w:val="20"/>
              </w:rPr>
              <w:t>1,0–2,0 %</w:t>
            </w:r>
          </w:p>
        </w:tc>
      </w:tr>
      <w:tr>
        <w:tc>
          <w:tcPr>
            <w:tcW w:type="dxa" w:w="2268"/>
          </w:tcPr>
          <w:p>
            <w:r>
              <w:rPr>
                <w:rFonts w:ascii="Times New Roman" w:hAnsi="Times New Roman"/>
                <w:sz w:val="20"/>
              </w:rPr>
              <w:t>Umsatz 2026 (Plan)</w:t>
            </w:r>
          </w:p>
        </w:tc>
        <w:tc>
          <w:tcPr>
            <w:tcW w:type="dxa" w:w="2268"/>
          </w:tcPr>
          <w:p>
            <w:r>
              <w:rPr>
                <w:rFonts w:ascii="Times New Roman" w:hAnsi="Times New Roman"/>
                <w:sz w:val="20"/>
              </w:rPr>
              <w:t>25,4 Mio. EUR</w:t>
            </w:r>
          </w:p>
        </w:tc>
        <w:tc>
          <w:tcPr>
            <w:tcW w:type="dxa" w:w="2268"/>
          </w:tcPr>
          <w:p>
            <w:r>
              <w:rPr>
                <w:rFonts w:ascii="Times New Roman" w:hAnsi="Times New Roman"/>
                <w:sz w:val="20"/>
              </w:rPr>
              <w:t>22,0 Mio. EUR</w:t>
            </w:r>
          </w:p>
        </w:tc>
        <w:tc>
          <w:tcPr>
            <w:tcW w:type="dxa" w:w="2268"/>
          </w:tcPr>
          <w:p>
            <w:r>
              <w:rPr>
                <w:rFonts w:ascii="Times New Roman" w:hAnsi="Times New Roman"/>
                <w:sz w:val="20"/>
              </w:rPr>
              <w:t>Auftragsbestand: 8,1 Mio. EUR</w:t>
            </w:r>
          </w:p>
        </w:tc>
      </w:tr>
      <w:tr>
        <w:tc>
          <w:tcPr>
            <w:tcW w:type="dxa" w:w="2268"/>
          </w:tcPr>
          <w:p>
            <w:r>
              <w:rPr>
                <w:rFonts w:ascii="Times New Roman" w:hAnsi="Times New Roman"/>
                <w:b/>
                <w:sz w:val="20"/>
              </w:rPr>
              <w:t>Ertragswert Equity</w:t>
            </w:r>
          </w:p>
        </w:tc>
        <w:tc>
          <w:tcPr>
            <w:tcW w:type="dxa" w:w="2268"/>
          </w:tcPr>
          <w:p>
            <w:r>
              <w:rPr>
                <w:rFonts w:ascii="Times New Roman" w:hAnsi="Times New Roman"/>
                <w:b/>
                <w:sz w:val="20"/>
              </w:rPr>
              <w:t>9,8 Mio. EUR</w:t>
            </w:r>
          </w:p>
        </w:tc>
        <w:tc>
          <w:tcPr>
            <w:tcW w:type="dxa" w:w="2268"/>
          </w:tcPr>
          <w:p>
            <w:r>
              <w:rPr>
                <w:rFonts w:ascii="Times New Roman" w:hAnsi="Times New Roman"/>
                <w:b/>
                <w:sz w:val="20"/>
              </w:rPr>
              <w:t>6,1 Mio. EUR</w:t>
            </w:r>
          </w:p>
        </w:tc>
        <w:tc>
          <w:tcPr>
            <w:tcW w:type="dxa" w:w="2268"/>
          </w:tcPr>
          <w:p>
            <w:r>
              <w:rPr>
                <w:rFonts w:ascii="Times New Roman" w:hAnsi="Times New Roman"/>
                <w:sz w:val="20"/>
              </w:rPr>
              <w:t>—</w:t>
            </w:r>
          </w:p>
        </w:tc>
      </w:tr>
    </w:tbl>
    <w:p>
      <w:pPr>
        <w:jc w:val="left"/>
      </w:pPr>
      <w:r>
        <w:t>Beide Gutachten liegen weit über dem Buchwert (3,4 Mio. EUR). Das Wittmann-Gutachten ist methodisch fehlerhaft (überhöhter Basiszinssatz, überhöhte MRP, überhöhter Beta, zu niedriger Wachstumsabschlag, unrealistische Umsatzplanung). Das Gericht wird im Streitfall einen gerichtlich bestellten Sachverständigen beauftragen, der voraussichtlich in der Nähe des Heidekämper-Gutachtens oder zwischen beiden Gutachten landet.</w:t>
      </w:r>
    </w:p>
    <w:p/>
    <w:p>
      <w:pPr>
        <w:pStyle w:val="Heading2"/>
      </w:pPr>
      <w:r>
        <w:rPr>
          <w:rFonts w:ascii="Times New Roman" w:hAnsi="Times New Roman"/>
        </w:rPr>
        <w:t>4. Gerichtlich bestellter Sachverständiger</w:t>
      </w:r>
    </w:p>
    <w:p>
      <w:pPr>
        <w:jc w:val="left"/>
      </w:pPr>
      <w:r>
        <w:t>Im Rahmen der Anfechtungsklage LG Bielefeld wird die Kanzlei DWSP beantragen, einen gerichtlich bestellten Sachverständigen für die Unternehmensbewertung einzusetzen. Vorgeschlagene Sachverständige:</w:t>
      </w:r>
    </w:p>
    <w:p>
      <w:pPr>
        <w:pStyle w:val="ListNumber"/>
      </w:pPr>
      <w:r>
        <w:rPr>
          <w:b/>
        </w:rPr>
        <w:t>Prof. Dr. Markus Hüsemann</w:t>
      </w:r>
      <w:r>
        <w:t xml:space="preserve"> (Universität Paderborn, Lehrstuhl Unternehmensfinanzierung und -bewertung) — ausgewiesen in IDW S 1-Gutachten</w:t>
      </w:r>
    </w:p>
    <w:p>
      <w:pPr>
        <w:pStyle w:val="ListNumber"/>
      </w:pPr>
      <w:r>
        <w:rPr>
          <w:b/>
        </w:rPr>
        <w:t>WP/StB Dieter Brüggemann</w:t>
      </w:r>
      <w:r>
        <w:t xml:space="preserve"> (Susat &amp; Partner, Hamburg) — zertifizierter Unternehmensprüfer IDW</w:t>
      </w:r>
    </w:p>
    <w:p>
      <w:pPr>
        <w:jc w:val="left"/>
      </w:pPr>
      <w:r>
        <w:t>Die Kanzlei der Wittmann Holding wird voraussichtlich eigene Vorschläge einreichen. Das Gericht wählt in der Regel neutral.</w:t>
      </w:r>
    </w:p>
    <w:p/>
    <w:p>
      <w:pPr>
        <w:pStyle w:val="Heading2"/>
      </w:pPr>
      <w:r>
        <w:rPr>
          <w:rFonts w:ascii="Times New Roman" w:hAnsi="Times New Roman"/>
        </w:rPr>
        <w:t>5. Bedeutung für den Vergleich</w:t>
      </w:r>
    </w:p>
    <w:p>
      <w:pPr>
        <w:jc w:val="left"/>
      </w:pPr>
      <w:r>
        <w:t>Das Gutachtenspektrum (6,1 bis 9,8 Mio. EUR) definiert den Verhandlungskorridor. Ein Vergleich auf Basis von 7,5–8,0 Mio. EUR (Equity gesamt) erscheint realistisch. Der Anteil der Geisen-Familie (70 %) entspräche dann 5,25–5,60 Mio. EUR — mehr als das Doppelte des Wittmann-Angebots.</w:t>
      </w:r>
    </w:p>
    <w:p/>
    <w:p>
      <w:pPr>
        <w:jc w:val="left"/>
      </w:pPr>
      <w:r>
        <w:rPr>
          <w:i/>
        </w:rPr>
        <w:t>Erstellt: 07.05.2026 — Prof. Dr. Wieland Drosselberg</w:t>
      </w:r>
    </w:p>
    <w:p>
      <w:pPr>
        <w:jc w:val="left"/>
      </w:pPr>
      <w:r>
        <w:rPr>
          <w:i/>
        </w:rPr>
        <w:t>Referenz: IDW S 1 i.d.F. 2008; IDW-FAUB-Stellungnahme 2024; BGH BGHZ 116, 359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