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Gesamtstrategie und Vergleichskorridor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08.05.2026</w:t>
      </w:r>
    </w:p>
    <w:p>
      <w:pPr>
        <w:jc w:val="left"/>
      </w:pPr>
      <w:r>
        <w:rPr>
          <w:b/>
        </w:rPr>
        <w:t>Bearbeiter:</w:t>
      </w:r>
      <w:r>
        <w:t xml:space="preserve"> Prof. Dr. Wieland Drosselberg</w:t>
      </w:r>
    </w:p>
    <w:p/>
    <w:p>
      <w:pPr>
        <w:pStyle w:val="Heading2"/>
      </w:pPr>
      <w:r>
        <w:rPr>
          <w:rFonts w:ascii="Times New Roman" w:hAnsi="Times New Roman"/>
        </w:rPr>
        <w:t>1. Strategische Ausgangslage</w:t>
      </w:r>
    </w:p>
    <w:p>
      <w:pPr>
        <w:jc w:val="left"/>
      </w:pPr>
      <w:r>
        <w:t>Nach sechs Wochen intensiver Arbeit hat die Kanzlei DWSP folgendes Lagebild: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Tendenz Mandant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Anfechtungsklage LG Bielefeld (3 O 41/26)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eingereicht 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Stark — Beschluss formal und materiell fehlerhaft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Hamm 27 Wx 22/26 (Formwechsel)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Beschwerde läuft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Günstig — Formwechsel scheitert an § 228 UmwG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HinSchG-Untersuchung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Unsicher — Hauptrisiko: GF-Haftungsausdehnung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GF-Haftungsklage § 43 GmbHG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Schaden klar, Verschulden nachweisbar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Wettbewerbsverbot Stefan Geisen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Beratung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Günstig — Klausel ohne Karenzentschädigung unwirksam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Stille Gesellschaft Karlheinz Wetterhof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Auseinandersetzung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außerordentliche Kündigung vertretbar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Szenarien-Analyse</w:t>
      </w:r>
    </w:p>
    <w:p>
      <w:pPr>
        <w:pStyle w:val="Heading3"/>
      </w:pPr>
      <w:r>
        <w:rPr>
          <w:rFonts w:ascii="Times New Roman" w:hAnsi="Times New Roman"/>
        </w:rPr>
        <w:t>Szenario A: Vollständige Prozessführung (Best Case Mandant)</w:t>
      </w:r>
    </w:p>
    <w:p>
      <w:pPr>
        <w:jc w:val="left"/>
      </w:pPr>
      <w:r>
        <w:rPr>
          <w:b/>
        </w:rPr>
        <w:t>Verlauf:</w:t>
      </w:r>
      <w:r>
        <w:t xml:space="preserve"> LG Bielefeld hebt Squeeze-out-Beschluss auf; OLG Hamm weist Formwechsel-Beschwerde zurück; GF-Haftungsklage erfolgreich; HinSchG-Schwarzkasse durch Selbstanzeige bereinigt.</w:t>
      </w:r>
    </w:p>
    <w:p>
      <w:pPr>
        <w:jc w:val="left"/>
      </w:pPr>
      <w:r>
        <w:rPr>
          <w:b/>
        </w:rPr>
        <w:t>Ergebnis:</w:t>
      </w:r>
    </w:p>
    <w:p>
      <w:pPr>
        <w:pStyle w:val="ListBullet"/>
      </w:pPr>
      <w:r>
        <w:t>Gesellschafterstruktur bleibt unverändert; Geisen-Familie behält 70 %</w:t>
      </w:r>
    </w:p>
    <w:p>
      <w:pPr>
        <w:pStyle w:val="ListBullet"/>
      </w:pPr>
      <w:r>
        <w:t>Wittmann Holding muss Prozesskosten tragen (Streitwert 6,4 Mio. EUR = Gerichtskosten ca. 85.000 EUR + Anwaltskosten beider Seiten)</w:t>
      </w:r>
    </w:p>
    <w:p>
      <w:pPr>
        <w:pStyle w:val="ListBullet"/>
      </w:pPr>
      <w:r>
        <w:t>Haftungsklage: Rückfluss ca. 430.000–510.000 EUR an die Gesellschaft</w:t>
      </w:r>
    </w:p>
    <w:p>
      <w:pPr>
        <w:pStyle w:val="ListBullet"/>
      </w:pPr>
      <w:r>
        <w:t>Verhandlungsposition für künftige Anteilsabtretung oder Unternehmensverkauf stark</w:t>
      </w:r>
    </w:p>
    <w:p>
      <w:pPr>
        <w:pStyle w:val="ListBullet"/>
      </w:pPr>
      <w:r>
        <w:rPr>
          <w:b/>
        </w:rPr>
        <w:t>Zeitrahmen:</w:t>
      </w:r>
      <w:r>
        <w:t xml:space="preserve"> Q2 2027 bis Q4 2028 (zwei Instanzen)</w:t>
      </w:r>
    </w:p>
    <w:p>
      <w:pPr>
        <w:pStyle w:val="ListBullet"/>
      </w:pPr>
      <w:r>
        <w:rPr>
          <w:b/>
        </w:rPr>
        <w:t>Kosten:</w:t>
      </w:r>
      <w:r>
        <w:t xml:space="preserve"> 150.000–250.000 EUR Anwaltskosten DWSP</w:t>
      </w:r>
    </w:p>
    <w:p>
      <w:pPr>
        <w:pStyle w:val="Heading3"/>
      </w:pPr>
      <w:r>
        <w:rPr>
          <w:rFonts w:ascii="Times New Roman" w:hAnsi="Times New Roman"/>
        </w:rPr>
        <w:t>Szenario B: Vergleich (Empfohlenes Szenario)</w:t>
      </w:r>
    </w:p>
    <w:p>
      <w:pPr>
        <w:jc w:val="left"/>
      </w:pPr>
      <w:r>
        <w:rPr>
          <w:b/>
        </w:rPr>
        <w:t>Verlauf:</w:t>
      </w:r>
      <w:r>
        <w:t xml:space="preserve"> Mediation oder direkte Verhandlungen nach erster mündlicher Verhandlung (September 2026); Wittmann Holding zieht Squeeze-out-Klausel zurück; Geisen-Familie bietet einen kontrollierten Teilrückzug des Wittmann-Anteils zu Ertragswert an.</w:t>
      </w:r>
    </w:p>
    <w:p>
      <w:pPr>
        <w:jc w:val="left"/>
      </w:pPr>
      <w:r>
        <w:rPr>
          <w:b/>
        </w:rPr>
        <w:t>Vergleichsangebot (Zielgröße):</w:t>
      </w:r>
    </w:p>
    <w:p>
      <w:pPr>
        <w:ind w:left="567"/>
      </w:pPr>
      <w:r>
        <w:rPr>
          <w:i/>
        </w:rPr>
        <w:t>Die Wittmann Family Holding KG tritt ihren Kommanditanteil (30 %, 300.000 EUR Kapital) gegen eine Abfindung in Höhe von 2.940.000 EUR (= 30 % × 9,8 Mio. EUR Ertragswert) an die Geisen-Familie oder an einen einvernehmlichen Dritten ab.</w:t>
      </w:r>
    </w:p>
    <w:p>
      <w:pPr>
        <w:jc w:val="left"/>
      </w:pPr>
      <w:r>
        <w:rPr>
          <w:b/>
        </w:rPr>
        <w:t>Zielkorridor:</w:t>
      </w:r>
      <w:r>
        <w:t xml:space="preserve"> 2,6–3,0 Mio. EUR für 30 %-Anteil (Diskont auf Ertragswert wegen Minderheitsabschlag und Prämie für schnellen Exit).</w:t>
      </w:r>
    </w:p>
    <w:p>
      <w:pPr>
        <w:jc w:val="left"/>
      </w:pPr>
      <w:r>
        <w:rPr>
          <w:b/>
        </w:rPr>
        <w:t>Zusatzbedingungen:</w:t>
      </w:r>
    </w:p>
    <w:p>
      <w:pPr>
        <w:pStyle w:val="ListBullet"/>
      </w:pPr>
      <w:r>
        <w:t>Wittmann Holding zieht Formwechselbeschluss zurück</w:t>
      </w:r>
    </w:p>
    <w:p>
      <w:pPr>
        <w:pStyle w:val="ListBullet"/>
      </w:pPr>
      <w:r>
        <w:t>Stefan Geisen darf HolzART Paderborn UG gründen (§ 14 GV wird auf „während der Mitgliedschaft" beschränkt, kein nachvertragliches Verbot ohne Karenzentschädigung)</w:t>
      </w:r>
    </w:p>
    <w:p>
      <w:pPr>
        <w:pStyle w:val="ListBullet"/>
      </w:pPr>
      <w:r>
        <w:t>GF-Haftungsklage gegen Heinrich-Eberhard wird nicht weiterverfolgt (Vergleichsverzicht)</w:t>
      </w:r>
    </w:p>
    <w:p>
      <w:pPr>
        <w:pStyle w:val="ListBullet"/>
      </w:pPr>
      <w:r>
        <w:t>HinSchG-Untersuchung intern abschließen ohne externe Behörden</w:t>
      </w:r>
    </w:p>
    <w:p>
      <w:pPr>
        <w:jc w:val="left"/>
      </w:pPr>
      <w:r>
        <w:rPr>
          <w:b/>
        </w:rPr>
        <w:t>Zeitrahmen:</w:t>
      </w:r>
      <w:r>
        <w:t xml:space="preserve"> September–Dezember 2026</w:t>
      </w:r>
    </w:p>
    <w:p>
      <w:pPr>
        <w:jc w:val="left"/>
      </w:pPr>
      <w:r>
        <w:rPr>
          <w:b/>
        </w:rPr>
        <w:t>Kosten:</w:t>
      </w:r>
      <w:r>
        <w:t xml:space="preserve"> 40.000–70.000 EUR (deutlich günstiger als Vollprozess)</w:t>
      </w:r>
    </w:p>
    <w:p>
      <w:pPr>
        <w:pStyle w:val="Heading3"/>
      </w:pPr>
      <w:r>
        <w:rPr>
          <w:rFonts w:ascii="Times New Roman" w:hAnsi="Times New Roman"/>
        </w:rPr>
        <w:t>Szenario C: Worst Case (Wittmann gewinnt)</w:t>
      </w:r>
    </w:p>
    <w:p>
      <w:pPr>
        <w:jc w:val="left"/>
      </w:pPr>
      <w:r>
        <w:rPr>
          <w:b/>
        </w:rPr>
        <w:t>Verlauf:</w:t>
      </w:r>
      <w:r>
        <w:t xml:space="preserve"> LG Bielefeld weist Anfechtungsklage ab; Buchwertabfindung rechtskräftig (unwahrscheinlich, aber theoretisch).</w:t>
      </w:r>
    </w:p>
    <w:p>
      <w:pPr>
        <w:jc w:val="left"/>
      </w:pPr>
      <w:r>
        <w:rPr>
          <w:b/>
        </w:rPr>
        <w:t>Ergebnis:</w:t>
      </w:r>
    </w:p>
    <w:p>
      <w:pPr>
        <w:pStyle w:val="ListBullet"/>
      </w:pPr>
      <w:r>
        <w:t>Geisen-Familie erhält nur 2,38 Mio. EUR (70 % × 3,4 Mio. EUR Buchwert)</w:t>
      </w:r>
    </w:p>
    <w:p>
      <w:pPr>
        <w:pStyle w:val="ListBullet"/>
      </w:pPr>
      <w:r>
        <w:t>Verlust des Unternehmens an Wittmann Holding</w:t>
      </w:r>
    </w:p>
    <w:p>
      <w:pPr>
        <w:pStyle w:val="ListBullet"/>
      </w:pPr>
      <w:r>
        <w:t>GF Heinrich-Eberhard verliert sein Amt</w:t>
      </w:r>
    </w:p>
    <w:p>
      <w:pPr>
        <w:pStyle w:val="ListBullet"/>
      </w:pPr>
      <w:r>
        <w:t>HinSchG-Affäre könnte strafrechtlich eskalieren</w:t>
      </w:r>
    </w:p>
    <w:p>
      <w:pPr>
        <w:pStyle w:val="ListBullet"/>
      </w:pPr>
      <w:r>
        <w:rPr>
          <w:b/>
        </w:rPr>
        <w:t>Wahrscheinlichkeit:</w:t>
      </w:r>
      <w:r>
        <w:t xml:space="preserve"> &lt; 10 % (Beschluss hat zu viele formelle und materielle Mängel)</w:t>
      </w:r>
    </w:p>
    <w:p/>
    <w:p>
      <w:pPr>
        <w:pStyle w:val="Heading2"/>
      </w:pPr>
      <w:r>
        <w:rPr>
          <w:rFonts w:ascii="Times New Roman" w:hAnsi="Times New Roman"/>
        </w:rPr>
        <w:t>3. Kommunikationsplan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Mandantengespräch: Szenarien-Präsentation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 auf Vergleichsstrategie 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Vergleichsangebot an Wittmann Holding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Eröffnung Verhandlungen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Mediationsgespräch (ggf. Wirtschaftsmediator)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Strukturierte Einigung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mündliche Verhandlung LG Bielefeld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Richterlicher Einigungsdruck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Zieldatum Vergleichsschluss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Oktober–November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Klärung vor Jahresende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Prioritäten</w:t>
      </w:r>
    </w:p>
    <w:p>
      <w:pPr>
        <w:pStyle w:val="ListNumber"/>
      </w:pPr>
      <w:r>
        <w:rPr>
          <w:b/>
        </w:rPr>
        <w:t>Einstweilige Verfügung</w:t>
      </w:r>
      <w:r>
        <w:t xml:space="preserve"> (falls nicht bereits erledigt): Vollzug des Squeeze-out verhindern</w:t>
      </w:r>
    </w:p>
    <w:p>
      <w:pPr>
        <w:pStyle w:val="ListNumber"/>
      </w:pPr>
      <w:r>
        <w:rPr>
          <w:b/>
        </w:rPr>
        <w:t>Anfechtungsklage</w:t>
      </w:r>
      <w:r>
        <w:t xml:space="preserve"> solide vorbereiten und Sachverständigen-Termin frühzeitig beantragen</w:t>
      </w:r>
    </w:p>
    <w:p>
      <w:pPr>
        <w:pStyle w:val="ListNumber"/>
      </w:pPr>
      <w:r>
        <w:rPr>
          <w:b/>
        </w:rPr>
        <w:t>HinSchG-Selbstanzeige</w:t>
      </w:r>
      <w:r>
        <w:t xml:space="preserve"> bis Sommer 2026 abschließen — dieses Risiko muss weg</w:t>
      </w:r>
    </w:p>
    <w:p>
      <w:pPr>
        <w:pStyle w:val="ListNumber"/>
      </w:pPr>
      <w:r>
        <w:rPr>
          <w:b/>
        </w:rPr>
        <w:t>Stille Gesellschaft</w:t>
      </w:r>
      <w:r>
        <w:t xml:space="preserve"> Karlheinz Wetterhof einvernehmlich regeln, um Cornelia Geisen-Wetterhof zu entlasten</w:t>
      </w:r>
    </w:p>
    <w:p>
      <w:pPr>
        <w:pStyle w:val="ListNumber"/>
      </w:pPr>
      <w:r>
        <w:rPr>
          <w:b/>
        </w:rPr>
        <w:t>Stefan Geisen:</w:t>
      </w:r>
      <w:r>
        <w:t xml:space="preserve"> UG-Gründung koordinieren, so dass kein Wettbewerbsstreit entsteht</w:t>
      </w:r>
    </w:p>
    <w:p/>
    <w:p>
      <w:pPr>
        <w:jc w:val="left"/>
      </w:pPr>
      <w:r>
        <w:rPr>
          <w:i/>
        </w:rPr>
        <w:t>Erstellt: 08.05.2026 — Prof. Dr. Wieland Drosselberg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