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Kanzleistrategie: Gesamtschau und Kommunikation Mandanten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10.05.2026</w:t>
      </w:r>
    </w:p>
    <w:p>
      <w:pPr>
        <w:jc w:val="left"/>
      </w:pPr>
      <w:r>
        <w:rPr>
          <w:b/>
        </w:rPr>
        <w:t>Bearbeiter:</w:t>
      </w:r>
      <w:r>
        <w:t xml:space="preserve"> Prof. Dr. Wieland Drosselberg</w:t>
      </w:r>
    </w:p>
    <w:p/>
    <w:p>
      <w:pPr>
        <w:pStyle w:val="Heading2"/>
      </w:pPr>
      <w:r>
        <w:rPr>
          <w:rFonts w:ascii="Times New Roman" w:hAnsi="Times New Roman"/>
        </w:rPr>
        <w:t>1. Gesamtbild der Lage</w:t>
      </w:r>
    </w:p>
    <w:p>
      <w:pPr>
        <w:jc w:val="left"/>
      </w:pPr>
      <w:r>
        <w:t>Die Küchenkönig Manufaktur GmbH &amp; Co. KG steht vor dem komplexesten gesellschaftsrechtlichen Auseinandersetzungsfall, den die Kanzlei DWSP in den letzten zehn Jahren bearbeitet hat. Sechs simultane Rechtsstränge, wechselseitige Interessenkonflikte innerhalb der Mandantengruppe und eine zeitkritische Compliance-Affäre erfordern eine orchestrierte Strategie. Diese Gesamtschau fasst alle Stränge zusammen und gibt Prioritäten vor.</w:t>
      </w:r>
    </w:p>
    <w:p/>
    <w:p>
      <w:pPr>
        <w:pStyle w:val="Heading2"/>
      </w:pPr>
      <w:r>
        <w:rPr>
          <w:rFonts w:ascii="Times New Roman" w:hAnsi="Times New Roman"/>
        </w:rPr>
        <w:t>2. Strang-Übersicht (Statusmatrix 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Strang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Anfechtungsklage LG Bielefeld 3 O 41/26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Klage eingereicht; Zustellung erwartet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Prof. Dr. 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Einstweilige Verfügung (Vollzugsstopp)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Antrag vorbereitet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Prof. Dr. 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OLG Hamm 27 Wx 22/26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Erwiderung eingereicht 15.04.2026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Entscheidung Q3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Ass. Sandtenbruch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GF-Haftungsklage § 43 GmbHG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Sondervertreter bestellen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Q4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Prof. Dr. 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Stille Gesellschaft Karlheinz Wetterhof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Auseinandersetzungsbilanz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RAin Wegener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Wettbewerbsverbot Stefan Geisen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Abmahnung zurückgewiesen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Prof. Dr. 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HinSchG-Untersuchung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Forensik läuft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Zwischenbericht 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Prof. Dr. 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Selbstanzeige § 371 AO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Vorbereitung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StB/RA Sandtenbruch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Vergleichsverhandlung mit Wittmann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Angebot vorbereitet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 01.06.2026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Prof. Dr. Drosselberg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Kritischer Pfad</w:t>
      </w:r>
    </w:p>
    <w:p>
      <w:pPr>
        <w:jc w:val="left"/>
      </w:pPr>
      <w:r>
        <w:t>Der kritische Pfad der gesamten Mandatsstrategie hängt von folgenden Schlüsselereignissen ab:</w:t>
      </w:r>
    </w:p>
    <w:p>
      <w:pPr>
        <w:jc w:val="left"/>
      </w:pPr>
      <w:r>
        <w:rPr>
          <w:b/>
        </w:rPr>
        <w:t>1. Einstweilige Verfügung (sofort):</w:t>
      </w:r>
      <w:r>
        <w:t xml:space="preserve"> Ohne Vollzugsstopp könnte Wittmann den Squeeze-out tatsächlich ins Handelsregister einzutragen versuchen, was zwar reversibel ist, aber erheblichen Aufwand verursacht. Antrag muss unmittelbar (bis 15.05.2026) beim LG Bielefeld gestellt werden.</w:t>
      </w:r>
    </w:p>
    <w:p>
      <w:pPr>
        <w:jc w:val="left"/>
      </w:pPr>
      <w:r>
        <w:rPr>
          <w:b/>
        </w:rPr>
        <w:t>2. Selbstanzeige (bis August 2026):</w:t>
      </w:r>
      <w:r>
        <w:t xml:space="preserve"> Das Steuerrisiko aus der Schwarzkassen-Affäre ist eigenständig zu lösen, bevor ein Betriebsprüfer die Sache aufgreift. Ein laufendes Steuerstrafverfahren gegen die Gesellschaft würde die Verhandlungsposition im Gesellschafterstreit erheblich schwächen.</w:t>
      </w:r>
    </w:p>
    <w:p>
      <w:pPr>
        <w:jc w:val="left"/>
      </w:pPr>
      <w:r>
        <w:rPr>
          <w:b/>
        </w:rPr>
        <w:t>3. Erste mündliche Verhandlung LG Bielefeld (September 2026):</w:t>
      </w:r>
      <w:r>
        <w:t xml:space="preserve"> Dieser Termin ist der natürliche Ausgangspunkt für Vergleichsgespräche; das Gericht wird einen Vergleich empfehlen. DWSP bereitet ein konkretes Vergleichsangebot vor (s. Aktenstück 20).</w:t>
      </w:r>
    </w:p>
    <w:p/>
    <w:p>
      <w:pPr>
        <w:pStyle w:val="Heading2"/>
      </w:pPr>
      <w:r>
        <w:rPr>
          <w:rFonts w:ascii="Times New Roman" w:hAnsi="Times New Roman"/>
        </w:rPr>
        <w:t>4. Kommunikationsregeln für die Mandantengruppe</w:t>
      </w:r>
    </w:p>
    <w:p>
      <w:pPr>
        <w:pStyle w:val="Heading3"/>
      </w:pPr>
      <w:r>
        <w:rPr>
          <w:rFonts w:ascii="Times New Roman" w:hAnsi="Times New Roman"/>
        </w:rPr>
        <w:t>4.1 Interne Kommunikation (Geisen-Familie)</w:t>
      </w:r>
    </w:p>
    <w:p>
      <w:pPr>
        <w:jc w:val="left"/>
      </w:pPr>
      <w:r>
        <w:t>Die drei Familienmitglieder müssen trotz bestehender Spannungen (GF-Haftungsklage gegen Heinrich-Eberhard) nach außen hin einheitlich auftreten. Folgende Kommunikationsregeln gelten:</w:t>
      </w:r>
    </w:p>
    <w:p>
      <w:pPr>
        <w:pStyle w:val="ListNumber"/>
      </w:pPr>
      <w:r>
        <w:rPr>
          <w:b/>
        </w:rPr>
        <w:t>Kein direkter Kontakt mit Dr. Werthebach</w:t>
      </w:r>
      <w:r>
        <w:t xml:space="preserve"> ohne vorherige Rücksprache mit der Kanzlei</w:t>
      </w:r>
    </w:p>
    <w:p>
      <w:pPr>
        <w:pStyle w:val="ListNumber"/>
      </w:pPr>
      <w:r>
        <w:rPr>
          <w:b/>
        </w:rPr>
        <w:t>Kein Datenaustausch</w:t>
      </w:r>
      <w:r>
        <w:t xml:space="preserve"> mit der Wittmann Holding über Buchhaltung, Personal oder operative Kennzahlen außerhalb formaler GV-Beschlüsse</w:t>
      </w:r>
    </w:p>
    <w:p>
      <w:pPr>
        <w:pStyle w:val="ListNumber"/>
      </w:pPr>
      <w:r>
        <w:rPr>
          <w:b/>
        </w:rPr>
        <w:t>Keine E-Mails oder Nachrichten</w:t>
      </w:r>
      <w:r>
        <w:t xml:space="preserve"> zu den laufenden Verfahren über persönliche oder betriebliche E-Mail-Konten; ausschließlich über verschlüsselte DWSP-Mandantenportal-Kommunikation</w:t>
      </w:r>
    </w:p>
    <w:p>
      <w:pPr>
        <w:pStyle w:val="ListNumber"/>
      </w:pPr>
      <w:r>
        <w:rPr>
          <w:b/>
        </w:rPr>
        <w:t>Keine Aussagen gegenüber Medien</w:t>
      </w:r>
      <w:r>
        <w:t xml:space="preserve"> oder Dritten (Banken, Lieferanten) über den Gesellschafterstreit</w:t>
      </w:r>
    </w:p>
    <w:p>
      <w:pPr>
        <w:pStyle w:val="ListNumber"/>
      </w:pPr>
      <w:r>
        <w:rPr>
          <w:b/>
        </w:rPr>
        <w:t>Keine informellen Treffen</w:t>
      </w:r>
      <w:r>
        <w:t xml:space="preserve"> mit Mitarbeitern über die HinSchG-Untersuchung; alle Mitarbeiterkontakte laufen über Prokuristin Schattmann-Berger und DWSP</w:t>
      </w:r>
    </w:p>
    <w:p>
      <w:pPr>
        <w:pStyle w:val="Heading3"/>
      </w:pPr>
      <w:r>
        <w:rPr>
          <w:rFonts w:ascii="Times New Roman" w:hAnsi="Times New Roman"/>
        </w:rPr>
        <w:t>4.2 Kommunikation mit Wittmann Holding</w:t>
      </w:r>
    </w:p>
    <w:p>
      <w:pPr>
        <w:jc w:val="left"/>
      </w:pPr>
      <w:r>
        <w:t>Alle Korrespondenz mit Dr. Werthebach oder der Anwaltskanzlei Brandt, Diekmann &amp; Lüke läuft ausschließlich über DWSP. Keine Direktgespräche ohne DWSP-Beisein. Vergleichsangebote nur schriftlich und mit Frist.</w:t>
      </w:r>
    </w:p>
    <w:p>
      <w:pPr>
        <w:pStyle w:val="Heading3"/>
      </w:pPr>
      <w:r>
        <w:rPr>
          <w:rFonts w:ascii="Times New Roman" w:hAnsi="Times New Roman"/>
        </w:rPr>
        <w:t>4.3 Kommunikation mit Gerichten</w:t>
      </w:r>
    </w:p>
    <w:p>
      <w:pPr>
        <w:jc w:val="left"/>
      </w:pPr>
      <w:r>
        <w:t>Alle Schriftsätze werden von DWSP formuliert und vom Mandanten zur Kenntnis genommen, aber nicht gegengezeichnet (außer bei Vollmachterklärungen). Mandanten erhalten Kopien aller wesentlichen Schriftsätze und Gerichtsentscheidungen innerhalb von 48 Stunden.</w:t>
      </w:r>
    </w:p>
    <w:p/>
    <w:p>
      <w:pPr>
        <w:pStyle w:val="Heading2"/>
      </w:pPr>
      <w:r>
        <w:rPr>
          <w:rFonts w:ascii="Times New Roman" w:hAnsi="Times New Roman"/>
        </w:rPr>
        <w:t>5. Schlüsselrisiken und Gegenmaßnahmen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Konsequenz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Gegenmaßnahme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Vollzug des Squeeze-out durch Wittmann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Irreversibel bis OLG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Einstweilige Verfügung sofort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HinSchG-Affäre eskaliert zu Strafverfahren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Schwächung aller Verhandlungspositionen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Selbstanzeige August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Interessenkonflikt GF-Haftung eskaliert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Spaltung der Mandantengruppe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Sondervertreter bestellen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Cornelia Geisen-Wetterhof aus familiären Gründen nicht handlungsfähig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Prozessverzögerung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Vorsorgevollmacht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Stefan Geisen gründet HolzART vor Abschluss des Gesellschafterstreits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Wettbewerbsverbot-Streit als Ablenkung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Timing abstimmen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Banco: Kreditlinie Sparkasse eingefroren (wegen Streit)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Liquiditätsproblem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Bankgespräch vorbereiten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Kanzlei-Resümee</w:t>
      </w:r>
    </w:p>
    <w:p>
      <w:pPr>
        <w:jc w:val="left"/>
      </w:pPr>
      <w:r>
        <w:t>Die Geisen-Familie ist in einer rechtlich starken, wirtschaftlich aber belasteten Position. Stärke: Formfehler und materielle Fehler des Squeeze-out-Beschlusses machen das Klage-Fundament extrem solid. Schwäche: Die HinSchG-Schwarzkassen-Affäre muss schnell und vollständig bereinigt werden, bevor sie zum eigenständigen Risiko wird. Die Kanzlei DWSP empfiehlt, den Vergleich mit der Wittmann Holding aktiv zu suchen (Ziel: 70–80 % des IDW S 1-Ertragswertes für den Wittmann-Anteil) und die verbleibende Unternehmensstruktur zu stärken.</w:t>
      </w:r>
    </w:p>
    <w:p>
      <w:pPr>
        <w:jc w:val="left"/>
      </w:pPr>
      <w:r>
        <w:rPr>
          <w:b/>
        </w:rPr>
        <w:t>Nächste Mandantenbesprechung:</w:t>
      </w:r>
      <w:r>
        <w:t xml:space="preserve"> 15.05.2026, 14:00 Uhr, Kanzlei DWSP, Bielefeld.</w:t>
      </w:r>
    </w:p>
    <w:p/>
    <w:p>
      <w:pPr>
        <w:jc w:val="left"/>
      </w:pPr>
      <w:r>
        <w:rPr>
          <w:i/>
        </w:rPr>
        <w:t>Erstellt: 10.05.2026 — Prof. Dr. Wieland Drosselberg, Kanzlei DWSP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