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E-Mail Aylin an Jonas und Mira: Rechtsformwahl und Eckpunkte</w:t>
      </w:r>
    </w:p>
    <w:p>
      <w:pPr>
        <w:jc w:val="left"/>
      </w:pPr>
      <w:r>
        <w:t>```</w:t>
      </w:r>
    </w:p>
    <w:p>
      <w:pPr>
        <w:jc w:val="left"/>
      </w:pPr>
      <w:r>
        <w:t>Von:     aylin.soeren@neurochain.io</w:t>
      </w:r>
    </w:p>
    <w:p>
      <w:pPr>
        <w:jc w:val="left"/>
      </w:pPr>
      <w:r>
        <w:t>An:      jonas.kreutzberger@neurochain.io, mira.holzbach@neurochain.io</w:t>
      </w:r>
    </w:p>
    <w:p>
      <w:pPr>
        <w:jc w:val="left"/>
      </w:pPr>
      <w:r>
        <w:t>Datum:   Montag, 11.05.2026, 22:14 Uhr</w:t>
      </w:r>
    </w:p>
    <w:p>
      <w:pPr>
        <w:jc w:val="left"/>
      </w:pPr>
      <w:r>
        <w:t>Betreff: Eckpunkte Rechtsform, Stammkapital, Vesting — Position vor Pfaffenrode-Call</w:t>
      </w:r>
    </w:p>
    <w:p>
      <w:pPr>
        <w:jc w:val="left"/>
      </w:pPr>
      <w:r>
        <w:t>```</w:t>
      </w:r>
    </w:p>
    <w:p>
      <w:pPr>
        <w:jc w:val="left"/>
      </w:pPr>
      <w:r>
        <w:t>Liebe Mira, lieber Jonas,</w:t>
      </w:r>
    </w:p>
    <w:p>
      <w:pPr>
        <w:jc w:val="left"/>
      </w:pPr>
      <w:r>
        <w:t>ich fasse den Stand unserer WhatsApp-Diskussion und meine Rechtsformüberlegungen zusammen, damit wir morgen vor dem Call mit Pfaffenrode eine abgestimmte Position haben. Bitte gegenlesen und bis 8 Uhr morgens ergänzen oder widersprechen.</w:t>
      </w:r>
    </w:p>
    <w:p>
      <w:pPr>
        <w:pStyle w:val="Heading2"/>
      </w:pPr>
      <w:r>
        <w:rPr>
          <w:rFonts w:ascii="Times New Roman" w:hAnsi="Times New Roman"/>
        </w:rPr>
        <w:t>1. Rechtsformwahl: UG oder GmbH</w:t>
      </w:r>
    </w:p>
    <w:p>
      <w:pPr>
        <w:jc w:val="left"/>
      </w:pPr>
      <w:r>
        <w:t xml:space="preserve">Wir entscheiden uns für die </w:t>
      </w:r>
      <w:r>
        <w:rPr>
          <w:b/>
        </w:rPr>
        <w:t>GmbH</w:t>
      </w:r>
      <w:r>
        <w:t>. Begründung:</w:t>
      </w:r>
    </w:p>
    <w:p>
      <w:pPr>
        <w:pStyle w:val="ListBullet"/>
      </w:pPr>
      <w:r>
        <w:t>Außenwirkung gegenüber Investoren und Geschäftspartnern. Die UG (haftungsbeschränkt) wird, zu Unrecht oder zu Recht, häufig als kapitalschwach wahrgenommen.</w:t>
      </w:r>
    </w:p>
    <w:p>
      <w:pPr>
        <w:pStyle w:val="ListBullet"/>
      </w:pPr>
      <w:r>
        <w:t>Thesaurierungspflicht der UG nach Paragraph 5a Absatz 3 GmbHG: ein Viertel des Jahresüberschusses muss in eine gesetzliche Rücklage eingestellt werden, bis das Stammkapital von 25.000 EUR erreicht ist. Das bremst Ausschüttungen, falls wir später doch welche planen.</w:t>
      </w:r>
    </w:p>
    <w:p>
      <w:pPr>
        <w:pStyle w:val="ListBullet"/>
      </w:pPr>
      <w:r>
        <w:t>Eine spätere Umwandlung von UG zu GmbH ist möglich, aber zusätzlicher Notaraufwand. Wir sparen uns das, wenn wir gleich GmbH gründen.</w:t>
      </w:r>
    </w:p>
    <w:p>
      <w:pPr>
        <w:pStyle w:val="ListBullet"/>
      </w:pPr>
      <w:r>
        <w:t>Stammkapital 25.000 EUR. Wir zahlen wie üblich nur die Hälfte, also 12.500 EUR sofort ein, die andere Hälfte als Resteinlageverpflichtung. Das passt zur aktuellen Liquiditätslage.</w:t>
      </w:r>
    </w:p>
    <w:p>
      <w:pPr>
        <w:jc w:val="left"/>
      </w:pPr>
      <w:r>
        <w:t>Argumente für die UG, die wir verworfen haben:</w:t>
      </w:r>
    </w:p>
    <w:p>
      <w:pPr>
        <w:pStyle w:val="ListBullet"/>
      </w:pPr>
      <w:r>
        <w:t>Geringeres Stammkapital (1 Euro Minimum, praktisch 1.000 EUR realistisch).</w:t>
      </w:r>
    </w:p>
    <w:p>
      <w:pPr>
        <w:pStyle w:val="ListBullet"/>
      </w:pPr>
      <w:r>
        <w:t>Schnellere und günstigere Gründung über Musterprotokoll.</w:t>
      </w:r>
    </w:p>
    <w:p>
      <w:pPr>
        <w:jc w:val="left"/>
      </w:pPr>
      <w:r>
        <w:t>Beides gleichen wir nicht durch die UG aus, weil das Musterprotokoll für uns ohnehin nicht passt (siehe Punkt 3).</w:t>
      </w:r>
    </w:p>
    <w:p>
      <w:pPr>
        <w:pStyle w:val="Heading2"/>
      </w:pPr>
      <w:r>
        <w:rPr>
          <w:rFonts w:ascii="Times New Roman" w:hAnsi="Times New Roman"/>
        </w:rPr>
        <w:t>2. Stammkapital, Bareinlage statt Sacheinlage</w:t>
      </w:r>
    </w:p>
    <w:p>
      <w:pPr>
        <w:jc w:val="left"/>
      </w:pPr>
      <w:r>
        <w:t>Stammkapital 25.000 EUR, Bareinlage. Aufteilung als Vorschlag: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Gesellschafterin/Gesellschafter</w:t>
            </w:r>
          </w:p>
        </w:tc>
        <w:tc>
          <w:tcPr>
            <w:tcW w:type="dxa" w:w="3024"/>
          </w:tcPr>
          <w:p>
            <w:r>
              <w:rPr>
                <w:rFonts w:ascii="Times New Roman" w:hAnsi="Times New Roman"/>
                <w:b/>
                <w:sz w:val="20"/>
              </w:rPr>
              <w:t>Nennbetrag</w:t>
            </w:r>
          </w:p>
        </w:tc>
        <w:tc>
          <w:tcPr>
            <w:tcW w:type="dxa" w:w="3024"/>
          </w:tcPr>
          <w:p>
            <w:r>
              <w:rPr>
                <w:rFonts w:ascii="Times New Roman" w:hAnsi="Times New Roman"/>
                <w:b/>
                <w:sz w:val="20"/>
              </w:rPr>
              <w:t>Prozent</w:t>
            </w:r>
          </w:p>
        </w:tc>
      </w:tr>
      <w:tr>
        <w:tc>
          <w:tcPr>
            <w:tcW w:type="dxa" w:w="3024"/>
          </w:tcPr>
          <w:p>
            <w:r>
              <w:rPr>
                <w:rFonts w:ascii="Times New Roman" w:hAnsi="Times New Roman"/>
                <w:sz w:val="20"/>
              </w:rPr>
              <w:t>Aylin Soeren</w:t>
            </w:r>
          </w:p>
        </w:tc>
        <w:tc>
          <w:tcPr>
            <w:tcW w:type="dxa" w:w="3024"/>
          </w:tcPr>
          <w:p>
            <w:r>
              <w:rPr>
                <w:rFonts w:ascii="Times New Roman" w:hAnsi="Times New Roman"/>
                <w:sz w:val="20"/>
              </w:rPr>
              <w:t>9.000 EUR</w:t>
            </w:r>
          </w:p>
        </w:tc>
        <w:tc>
          <w:tcPr>
            <w:tcW w:type="dxa" w:w="3024"/>
          </w:tcPr>
          <w:p>
            <w:r>
              <w:rPr>
                <w:rFonts w:ascii="Times New Roman" w:hAnsi="Times New Roman"/>
                <w:sz w:val="20"/>
              </w:rPr>
              <w:t>36,0</w:t>
            </w:r>
          </w:p>
        </w:tc>
      </w:tr>
      <w:tr>
        <w:tc>
          <w:tcPr>
            <w:tcW w:type="dxa" w:w="3024"/>
          </w:tcPr>
          <w:p>
            <w:r>
              <w:rPr>
                <w:rFonts w:ascii="Times New Roman" w:hAnsi="Times New Roman"/>
                <w:sz w:val="20"/>
              </w:rPr>
              <w:t>Jonas Kreutzberger</w:t>
            </w:r>
          </w:p>
        </w:tc>
        <w:tc>
          <w:tcPr>
            <w:tcW w:type="dxa" w:w="3024"/>
          </w:tcPr>
          <w:p>
            <w:r>
              <w:rPr>
                <w:rFonts w:ascii="Times New Roman" w:hAnsi="Times New Roman"/>
                <w:sz w:val="20"/>
              </w:rPr>
              <w:t>9.000 EUR</w:t>
            </w:r>
          </w:p>
        </w:tc>
        <w:tc>
          <w:tcPr>
            <w:tcW w:type="dxa" w:w="3024"/>
          </w:tcPr>
          <w:p>
            <w:r>
              <w:rPr>
                <w:rFonts w:ascii="Times New Roman" w:hAnsi="Times New Roman"/>
                <w:sz w:val="20"/>
              </w:rPr>
              <w:t>36,0</w:t>
            </w:r>
          </w:p>
        </w:tc>
      </w:tr>
      <w:tr>
        <w:tc>
          <w:tcPr>
            <w:tcW w:type="dxa" w:w="3024"/>
          </w:tcPr>
          <w:p>
            <w:r>
              <w:rPr>
                <w:rFonts w:ascii="Times New Roman" w:hAnsi="Times New Roman"/>
                <w:sz w:val="20"/>
              </w:rPr>
              <w:t>Mira Holzbach</w:t>
            </w:r>
          </w:p>
        </w:tc>
        <w:tc>
          <w:tcPr>
            <w:tcW w:type="dxa" w:w="3024"/>
          </w:tcPr>
          <w:p>
            <w:r>
              <w:rPr>
                <w:rFonts w:ascii="Times New Roman" w:hAnsi="Times New Roman"/>
                <w:sz w:val="20"/>
              </w:rPr>
              <w:t>7.000 EUR</w:t>
            </w:r>
          </w:p>
        </w:tc>
        <w:tc>
          <w:tcPr>
            <w:tcW w:type="dxa" w:w="3024"/>
          </w:tcPr>
          <w:p>
            <w:r>
              <w:rPr>
                <w:rFonts w:ascii="Times New Roman" w:hAnsi="Times New Roman"/>
                <w:sz w:val="20"/>
              </w:rPr>
              <w:t>28,0</w:t>
            </w:r>
          </w:p>
        </w:tc>
      </w:tr>
      <w:tr>
        <w:tc>
          <w:tcPr>
            <w:tcW w:type="dxa" w:w="3024"/>
          </w:tcPr>
          <w:p>
            <w:r>
              <w:rPr>
                <w:rFonts w:ascii="Times New Roman" w:hAnsi="Times New Roman"/>
                <w:sz w:val="20"/>
              </w:rPr>
              <w:t>Summe</w:t>
            </w:r>
          </w:p>
        </w:tc>
        <w:tc>
          <w:tcPr>
            <w:tcW w:type="dxa" w:w="3024"/>
          </w:tcPr>
          <w:p>
            <w:r>
              <w:rPr>
                <w:rFonts w:ascii="Times New Roman" w:hAnsi="Times New Roman"/>
                <w:sz w:val="20"/>
              </w:rPr>
              <w:t>25.000 EUR</w:t>
            </w:r>
          </w:p>
        </w:tc>
        <w:tc>
          <w:tcPr>
            <w:tcW w:type="dxa" w:w="3024"/>
          </w:tcPr>
          <w:p>
            <w:r>
              <w:rPr>
                <w:rFonts w:ascii="Times New Roman" w:hAnsi="Times New Roman"/>
                <w:sz w:val="20"/>
              </w:rPr>
              <w:t>100,0</w:t>
            </w:r>
          </w:p>
        </w:tc>
      </w:tr>
    </w:tbl>
    <w:p>
      <w:pPr>
        <w:jc w:val="left"/>
      </w:pPr>
      <w:r>
        <w:t>Bei Pfaffenrode-Investment (5 Prozent für 50.000 EUR bei Post-Money 1 Mio.) ergibt sich eine Kapitalerhöhung, die wir nach Eintragung in einem separaten Beschluss machen, nicht in der Gründungsurkunde.</w:t>
      </w:r>
    </w:p>
    <w:p>
      <w:pPr>
        <w:jc w:val="left"/>
      </w:pPr>
      <w:r>
        <w:t xml:space="preserve">Sacheinlage von Mira (Domain neurochain.io plus Code-Repository) </w:t>
      </w:r>
      <w:r>
        <w:rPr>
          <w:b/>
        </w:rPr>
        <w:t>fällt heraus</w:t>
      </w:r>
      <w:r>
        <w:t>. Begründung:</w:t>
      </w:r>
    </w:p>
    <w:p>
      <w:pPr>
        <w:pStyle w:val="ListBullet"/>
      </w:pPr>
      <w:r>
        <w:t>Gefahr der verdeckten Sacheinlage nach Paragraph 19 Absatz 4 GmbHG, weil die Domain und das Repo bereits von uns genutzt werden.</w:t>
      </w:r>
    </w:p>
    <w:p>
      <w:pPr>
        <w:pStyle w:val="ListBullet"/>
      </w:pPr>
      <w:r>
        <w:t>Sachgründungsbericht, Wertgutachten und Differenzhaftung sind aufwendig und teuer.</w:t>
      </w:r>
    </w:p>
    <w:p>
      <w:pPr>
        <w:pStyle w:val="ListBullet"/>
      </w:pPr>
      <w:r>
        <w:t>Alternative: Mira räumt der Gesellschaft eine unentgeltliche, einfache Nutzungslizenz an Domain und Repository ein. Späterer Erwerb gegen Kaufpreis aus laufenden Mitteln, wenn die Gesellschaft liquide ist. Vorsicht Nachgründung Paragraph 33 AktG analog gilt für GmbH nicht direkt, aber wir achten auf marktgerechte Preise zur Vermeidung verdeckter Gewinnausschüttung.</w:t>
      </w:r>
    </w:p>
    <w:p>
      <w:pPr>
        <w:pStyle w:val="Heading2"/>
      </w:pPr>
      <w:r>
        <w:rPr>
          <w:rFonts w:ascii="Times New Roman" w:hAnsi="Times New Roman"/>
        </w:rPr>
        <w:t>3. Musterprotokoll oder individuelle Satzung</w:t>
      </w:r>
    </w:p>
    <w:p>
      <w:pPr>
        <w:jc w:val="left"/>
      </w:pPr>
      <w:r>
        <w:rPr>
          <w:b/>
        </w:rPr>
        <w:t>Individuelle Satzung</w:t>
      </w:r>
      <w:r>
        <w:t>. Begründung:</w:t>
      </w:r>
    </w:p>
    <w:p>
      <w:pPr>
        <w:pStyle w:val="ListBullet"/>
      </w:pPr>
      <w:r>
        <w:t>Musterprotokoll nach Anlage zu Paragraph 2 Absatz 1a GmbHG ist eine pauschale Satzung ohne Anpassungsmöglichkeit. Sobald wir auch nur eine Klausel ergänzen, fällt die Erleichterung weg, und es wäre eine Vollbeurkundung mit Notar nötig.</w:t>
      </w:r>
    </w:p>
    <w:p>
      <w:pPr>
        <w:pStyle w:val="ListBullet"/>
      </w:pPr>
      <w:r>
        <w:t>Wir wollen mindestens:</w:t>
      </w:r>
    </w:p>
    <w:p>
      <w:pPr>
        <w:pStyle w:val="ListBullet"/>
      </w:pPr>
      <w:r>
        <w:t>Vinkulierung der Geschäftsanteile (Zustimmung der Gesellschafterversammlung bei Übertragung).</w:t>
      </w:r>
    </w:p>
    <w:p>
      <w:pPr>
        <w:pStyle w:val="ListBullet"/>
      </w:pPr>
      <w:r>
        <w:t>Einziehungsmöglichkeit bei wichtigem Grund, inklusive bei Insolvenz oder Pfändung eines Gesellschafters.</w:t>
      </w:r>
    </w:p>
    <w:p>
      <w:pPr>
        <w:pStyle w:val="ListBullet"/>
      </w:pPr>
      <w:r>
        <w:t>Vorerwerbsrecht und Andienungsrecht (Tag-Along/Drag-Along im Side-Letter, in der Satzung nur Andienungsrecht).</w:t>
      </w:r>
    </w:p>
    <w:p>
      <w:pPr>
        <w:pStyle w:val="ListBullet"/>
      </w:pPr>
      <w:r>
        <w:t>Bestellungs- und Abberufungsregeln für den Geschäftsführer.</w:t>
      </w:r>
    </w:p>
    <w:p>
      <w:pPr>
        <w:pStyle w:val="ListBullet"/>
      </w:pPr>
      <w:r>
        <w:t>Befreiung von Paragraph 181 BGB.</w:t>
      </w:r>
    </w:p>
    <w:p>
      <w:pPr>
        <w:pStyle w:val="ListBullet"/>
      </w:pPr>
      <w:r>
        <w:t>Wettbewerbsverbot der Gesellschafter mit Befreiungsmöglichkeit durch einfachen Beschluss.</w:t>
      </w:r>
    </w:p>
    <w:p>
      <w:pPr>
        <w:jc w:val="left"/>
      </w:pPr>
      <w:r>
        <w:t>Diese Punkte sind im Musterprotokoll nicht abbildbar.</w:t>
      </w:r>
    </w:p>
    <w:p>
      <w:pPr>
        <w:pStyle w:val="Heading2"/>
      </w:pPr>
      <w:r>
        <w:rPr>
          <w:rFonts w:ascii="Times New Roman" w:hAnsi="Times New Roman"/>
        </w:rPr>
        <w:t>4. Geschäftsführung</w:t>
      </w:r>
    </w:p>
    <w:p>
      <w:pPr>
        <w:jc w:val="left"/>
      </w:pPr>
      <w:r>
        <w:t>Vorschlag:</w:t>
      </w:r>
    </w:p>
    <w:p>
      <w:pPr>
        <w:pStyle w:val="ListBullet"/>
      </w:pPr>
      <w:r>
        <w:rPr>
          <w:b/>
        </w:rPr>
        <w:t>Aylin Soeren</w:t>
      </w:r>
      <w:r>
        <w:t xml:space="preserve"> als einzelvertretungsberechtigte Geschäftsführerin, befreit von Paragraph 181 BGB.</w:t>
      </w:r>
    </w:p>
    <w:p>
      <w:pPr>
        <w:pStyle w:val="ListBullet"/>
      </w:pPr>
      <w:r>
        <w:rPr>
          <w:b/>
        </w:rPr>
        <w:t>Mira Holzbach</w:t>
      </w:r>
      <w:r>
        <w:t xml:space="preserve"> als Prokuristin nach Eintragung der Gesellschaft. Prokura wird vom Geschäftsführer gegenüber Mira erteilt und zur Eintragung beim Handelsregister angemeldet.</w:t>
      </w:r>
    </w:p>
    <w:p>
      <w:pPr>
        <w:pStyle w:val="ListBullet"/>
      </w:pPr>
      <w:r>
        <w:rPr>
          <w:b/>
        </w:rPr>
        <w:t>Jonas Kreutzberger</w:t>
      </w:r>
      <w:r>
        <w:t xml:space="preserve"> ohne Vertretungsmacht nach außen, intern verantwortlich für Technik (CTO).</w:t>
      </w:r>
    </w:p>
    <w:p>
      <w:pPr>
        <w:jc w:val="left"/>
      </w:pPr>
      <w:r>
        <w:t>Ressortzuweisung in einer separaten Geschäftsführerordnung, nicht in der Satzung, damit wir sie ohne Notarbeurkundung anpassen können.</w:t>
      </w:r>
    </w:p>
    <w:p>
      <w:pPr>
        <w:pStyle w:val="Heading2"/>
      </w:pPr>
      <w:r>
        <w:rPr>
          <w:rFonts w:ascii="Times New Roman" w:hAnsi="Times New Roman"/>
        </w:rPr>
        <w:t>5. Vesting</w:t>
      </w:r>
    </w:p>
    <w:p>
      <w:pPr>
        <w:jc w:val="left"/>
      </w:pPr>
      <w:r>
        <w:t>Vesting nach Marktstandard:</w:t>
      </w:r>
    </w:p>
    <w:p>
      <w:pPr>
        <w:pStyle w:val="ListBullet"/>
      </w:pPr>
      <w:r>
        <w:t>Laufzeit vier Jahre (auf Wunsch Jonas drei Jahre, ich plädiere für vier).</w:t>
      </w:r>
    </w:p>
    <w:p>
      <w:pPr>
        <w:pStyle w:val="ListBullet"/>
      </w:pPr>
      <w:r>
        <w:t>Cliff zwölf Monate.</w:t>
      </w:r>
    </w:p>
    <w:p>
      <w:pPr>
        <w:pStyle w:val="ListBullet"/>
      </w:pPr>
      <w:r>
        <w:t>Lineare oder monatliche Vesting-Frequenz nach Cliff.</w:t>
      </w:r>
    </w:p>
    <w:p>
      <w:pPr>
        <w:pStyle w:val="ListBullet"/>
      </w:pPr>
      <w:r>
        <w:t>Reverse Vesting: Anteile sind ab Gründung voll im Eigentum der Gesellschafter, aber bei Ausscheiden vor Vesting müssen unvested Anteile zum Nominalwert zurück.</w:t>
      </w:r>
    </w:p>
    <w:p>
      <w:pPr>
        <w:pStyle w:val="ListBullet"/>
      </w:pPr>
      <w:r>
        <w:t>Bad-Leaver-/Good-Leaver-Klausel im Side-Letter zwischen den drei Gründern und Pfaffenrode.</w:t>
      </w:r>
    </w:p>
    <w:p>
      <w:pPr>
        <w:jc w:val="left"/>
      </w:pPr>
      <w:r>
        <w:t>Vesting steht nicht in der Satzung, sondern im Side-Letter und in einer Gesellschaftervereinbarung. In der Satzung steht nur die Einziehungsmöglichkeit als Sicherungsmittel.</w:t>
      </w:r>
    </w:p>
    <w:p>
      <w:pPr>
        <w:pStyle w:val="Heading2"/>
      </w:pPr>
      <w:r>
        <w:rPr>
          <w:rFonts w:ascii="Times New Roman" w:hAnsi="Times New Roman"/>
        </w:rPr>
        <w:t>6. KI-Verordnung und MiCAR</w:t>
      </w:r>
    </w:p>
    <w:p>
      <w:pPr>
        <w:pStyle w:val="ListBullet"/>
      </w:pPr>
      <w:r>
        <w:t>Wir betreiben eine KI-Plattform, die zunächst nicht als Hochrisiko-KI im Sinne der KI-Verordnung Anhang III zu qualifizieren ist, aber Transparenzpflichten nach Artikel 50 KI-VO greifen, insbesondere wenn Nutzer mit KI-Agenten interagieren.</w:t>
      </w:r>
    </w:p>
    <w:p>
      <w:pPr>
        <w:pStyle w:val="ListBullet"/>
      </w:pPr>
      <w:r>
        <w:t>Wir wollen Trainingsdaten on-chain tokenisieren. Sobald wir einen Token ausgeben oder eine eigene Krypto-Dienstleistung anbieten, sind wir potenziell unter MiCAR. Vorabklärung mit BaFin ist sinnvoll, sobald wir konkreter werden. Bis dahin keine Token-Emission.</w:t>
      </w:r>
    </w:p>
    <w:p>
      <w:pPr>
        <w:pStyle w:val="Heading2"/>
      </w:pPr>
      <w:r>
        <w:rPr>
          <w:rFonts w:ascii="Times New Roman" w:hAnsi="Times New Roman"/>
        </w:rPr>
        <w:t>7. Nächste Schritte</w:t>
      </w:r>
    </w:p>
    <w:p>
      <w:pPr>
        <w:pStyle w:val="ListNumber"/>
      </w:pPr>
      <w:r>
        <w:t>Heute Abend: diese E-Mail freigeben oder Änderungen einarbeiten.</w:t>
      </w:r>
    </w:p>
    <w:p>
      <w:pPr>
        <w:pStyle w:val="ListNumber"/>
      </w:pPr>
      <w:r>
        <w:t>Morgen 10 Uhr: Call mit Pfaffenrode. Aylin spricht, Jonas und Mira hören mit.</w:t>
      </w:r>
    </w:p>
    <w:p>
      <w:pPr>
        <w:pStyle w:val="ListNumber"/>
      </w:pPr>
      <w:r>
        <w:t>Mittwoch: Termin Eichbaum (Steuerberater).</w:t>
      </w:r>
    </w:p>
    <w:p>
      <w:pPr>
        <w:pStyle w:val="ListNumber"/>
      </w:pPr>
      <w:r>
        <w:t>Freitag: Workshop Gründer-Offsite, Hub Berlin-Mitte.</w:t>
      </w:r>
    </w:p>
    <w:p>
      <w:pPr>
        <w:pStyle w:val="ListNumber"/>
      </w:pPr>
      <w:r>
        <w:t>nächste Woche: Termsheet unterzeichnen.</w:t>
      </w:r>
    </w:p>
    <w:p>
      <w:pPr>
        <w:pStyle w:val="ListNumber"/>
      </w:pPr>
      <w:r>
        <w:t>zwei Wochen später: Notartermin mit Frau Dr. Vermeulen.</w:t>
      </w:r>
    </w:p>
    <w:p>
      <w:pPr>
        <w:jc w:val="left"/>
      </w:pPr>
      <w:r>
        <w:t>Bis morgen.</w:t>
      </w:r>
    </w:p>
    <w:p>
      <w:pPr>
        <w:jc w:val="left"/>
      </w:pPr>
      <w:r>
        <w:t>Aylin</w:t>
      </w:r>
    </w:p>
    <w:p/>
    <w:p>
      <w:pPr>
        <w:ind w:left="567"/>
      </w:pPr>
      <w:r>
        <w:rPr>
          <w:i/>
        </w:rPr>
        <w:t>Hinweis: diese E-Mail ist intern. Wir sind noch keine Gesellschaft. Inhalte sind Verhandlungsstand, kein Beschluss.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