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Gründer-Workshop "NeuroChain Labs" — Offsite Berlin-Mitte</w:t>
      </w:r>
    </w:p>
    <w:p>
      <w:pPr>
        <w:jc w:val="left"/>
      </w:pPr>
      <w:r>
        <w:t>Datum: Freitag, 15.05.2026, 14:00 bis 17:30 Uhr</w:t>
      </w:r>
    </w:p>
    <w:p>
      <w:pPr>
        <w:jc w:val="left"/>
      </w:pPr>
      <w:r>
        <w:t>Ort: Hub Berlin-Mitte, Raum "Spree"</w:t>
      </w:r>
    </w:p>
    <w:p>
      <w:pPr>
        <w:jc w:val="left"/>
      </w:pPr>
      <w:r>
        <w:t>Anwesend: Dr. Aylin Soeren, Jonas Kreutzberger, Mira Holzbach</w:t>
      </w:r>
    </w:p>
    <w:p>
      <w:pPr>
        <w:jc w:val="left"/>
      </w:pPr>
      <w:r>
        <w:t>Protokoll: Mira Holzbach</w:t>
      </w:r>
    </w:p>
    <w:p>
      <w:pPr>
        <w:pStyle w:val="Heading2"/>
      </w:pPr>
      <w:r>
        <w:rPr>
          <w:rFonts w:ascii="Times New Roman" w:hAnsi="Times New Roman"/>
        </w:rPr>
        <w:t>1. Eröffnung und Tagesordnung</w:t>
      </w:r>
    </w:p>
    <w:p>
      <w:pPr>
        <w:jc w:val="left"/>
      </w:pPr>
      <w:r>
        <w:t>Aylin eröffnet den Workshop um 14:05 Uhr. Die Tagesordnung umfasst:</w:t>
      </w:r>
    </w:p>
    <w:p>
      <w:pPr>
        <w:pStyle w:val="ListNumber"/>
      </w:pPr>
      <w:r>
        <w:t>Rechtsformwahl und Stammkapital</w:t>
      </w:r>
    </w:p>
    <w:p>
      <w:pPr>
        <w:pStyle w:val="ListNumber"/>
      </w:pPr>
      <w:r>
        <w:t>Satzung versus Musterprotokoll</w:t>
      </w:r>
    </w:p>
    <w:p>
      <w:pPr>
        <w:pStyle w:val="ListNumber"/>
      </w:pPr>
      <w:r>
        <w:t>Vesting und Side-Letter mit Pfaffenrode</w:t>
      </w:r>
    </w:p>
    <w:p>
      <w:pPr>
        <w:pStyle w:val="ListNumber"/>
      </w:pPr>
      <w:r>
        <w:t>Geschäftsführung, Prokura, Befreiung 181 BGB</w:t>
      </w:r>
    </w:p>
    <w:p>
      <w:pPr>
        <w:pStyle w:val="ListNumber"/>
      </w:pPr>
      <w:r>
        <w:t>Sacheinlage Domain und Repository</w:t>
      </w:r>
    </w:p>
    <w:p>
      <w:pPr>
        <w:pStyle w:val="ListNumber"/>
      </w:pPr>
      <w:r>
        <w:t>Steuerliche Eckpunkte und vGA-Risiken</w:t>
      </w:r>
    </w:p>
    <w:p>
      <w:pPr>
        <w:pStyle w:val="ListNumber"/>
      </w:pPr>
      <w:r>
        <w:t>KI-Verordnung und MiCAR</w:t>
      </w:r>
    </w:p>
    <w:p>
      <w:pPr>
        <w:pStyle w:val="ListNumber"/>
      </w:pPr>
      <w:r>
        <w:t>Nächste Schritte und Notartermin</w:t>
      </w:r>
    </w:p>
    <w:p>
      <w:pPr>
        <w:pStyle w:val="Heading2"/>
      </w:pPr>
      <w:r>
        <w:rPr>
          <w:rFonts w:ascii="Times New Roman" w:hAnsi="Times New Roman"/>
        </w:rPr>
        <w:t>2. Rechtsformwahl</w:t>
      </w:r>
    </w:p>
    <w:p>
      <w:pPr>
        <w:jc w:val="left"/>
      </w:pPr>
      <w:r>
        <w:t>Es besteht Einigkeit, eine GmbH mit Stammkapital 25.000 EUR zu gründen. Bareinlage zur Hälfte, also 12.500 EUR. Die Aufteilung nach Anteil wird wie folgt festgelegt: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Gesellschafterin/Gesellschafter</w:t>
            </w:r>
          </w:p>
        </w:tc>
        <w:tc>
          <w:tcPr>
            <w:tcW w:type="dxa" w:w="2268"/>
          </w:tcPr>
          <w:p>
            <w:r>
              <w:rPr>
                <w:rFonts w:ascii="Times New Roman" w:hAnsi="Times New Roman"/>
                <w:b/>
                <w:sz w:val="20"/>
              </w:rPr>
              <w:t>Nennbetrag</w:t>
            </w:r>
          </w:p>
        </w:tc>
        <w:tc>
          <w:tcPr>
            <w:tcW w:type="dxa" w:w="2268"/>
          </w:tcPr>
          <w:p>
            <w:r>
              <w:rPr>
                <w:rFonts w:ascii="Times New Roman" w:hAnsi="Times New Roman"/>
                <w:b/>
                <w:sz w:val="20"/>
              </w:rPr>
              <w:t>Prozent</w:t>
            </w:r>
          </w:p>
        </w:tc>
        <w:tc>
          <w:tcPr>
            <w:tcW w:type="dxa" w:w="2268"/>
          </w:tcPr>
          <w:p>
            <w:r>
              <w:rPr>
                <w:rFonts w:ascii="Times New Roman" w:hAnsi="Times New Roman"/>
                <w:b/>
                <w:sz w:val="20"/>
              </w:rPr>
              <w:t>Einzahlung sofort</w:t>
            </w:r>
          </w:p>
        </w:tc>
      </w:tr>
      <w:tr>
        <w:tc>
          <w:tcPr>
            <w:tcW w:type="dxa" w:w="2268"/>
          </w:tcPr>
          <w:p>
            <w:r>
              <w:rPr>
                <w:rFonts w:ascii="Times New Roman" w:hAnsi="Times New Roman"/>
                <w:sz w:val="20"/>
              </w:rPr>
              <w:t>Aylin Soeren</w:t>
            </w:r>
          </w:p>
        </w:tc>
        <w:tc>
          <w:tcPr>
            <w:tcW w:type="dxa" w:w="2268"/>
          </w:tcPr>
          <w:p>
            <w:r>
              <w:rPr>
                <w:rFonts w:ascii="Times New Roman" w:hAnsi="Times New Roman"/>
                <w:sz w:val="20"/>
              </w:rPr>
              <w:t>9.000 EUR</w:t>
            </w:r>
          </w:p>
        </w:tc>
        <w:tc>
          <w:tcPr>
            <w:tcW w:type="dxa" w:w="2268"/>
          </w:tcPr>
          <w:p>
            <w:r>
              <w:rPr>
                <w:rFonts w:ascii="Times New Roman" w:hAnsi="Times New Roman"/>
                <w:sz w:val="20"/>
              </w:rPr>
              <w:t>36,0</w:t>
            </w:r>
          </w:p>
        </w:tc>
        <w:tc>
          <w:tcPr>
            <w:tcW w:type="dxa" w:w="2268"/>
          </w:tcPr>
          <w:p>
            <w:r>
              <w:rPr>
                <w:rFonts w:ascii="Times New Roman" w:hAnsi="Times New Roman"/>
                <w:sz w:val="20"/>
              </w:rPr>
              <w:t>4.500 EUR</w:t>
            </w:r>
          </w:p>
        </w:tc>
      </w:tr>
      <w:tr>
        <w:tc>
          <w:tcPr>
            <w:tcW w:type="dxa" w:w="2268"/>
          </w:tcPr>
          <w:p>
            <w:r>
              <w:rPr>
                <w:rFonts w:ascii="Times New Roman" w:hAnsi="Times New Roman"/>
                <w:sz w:val="20"/>
              </w:rPr>
              <w:t>Jonas Kreutzberger</w:t>
            </w:r>
          </w:p>
        </w:tc>
        <w:tc>
          <w:tcPr>
            <w:tcW w:type="dxa" w:w="2268"/>
          </w:tcPr>
          <w:p>
            <w:r>
              <w:rPr>
                <w:rFonts w:ascii="Times New Roman" w:hAnsi="Times New Roman"/>
                <w:sz w:val="20"/>
              </w:rPr>
              <w:t>9.000 EUR</w:t>
            </w:r>
          </w:p>
        </w:tc>
        <w:tc>
          <w:tcPr>
            <w:tcW w:type="dxa" w:w="2268"/>
          </w:tcPr>
          <w:p>
            <w:r>
              <w:rPr>
                <w:rFonts w:ascii="Times New Roman" w:hAnsi="Times New Roman"/>
                <w:sz w:val="20"/>
              </w:rPr>
              <w:t>36,0</w:t>
            </w:r>
          </w:p>
        </w:tc>
        <w:tc>
          <w:tcPr>
            <w:tcW w:type="dxa" w:w="2268"/>
          </w:tcPr>
          <w:p>
            <w:r>
              <w:rPr>
                <w:rFonts w:ascii="Times New Roman" w:hAnsi="Times New Roman"/>
                <w:sz w:val="20"/>
              </w:rPr>
              <w:t>4.500 EUR</w:t>
            </w:r>
          </w:p>
        </w:tc>
      </w:tr>
      <w:tr>
        <w:tc>
          <w:tcPr>
            <w:tcW w:type="dxa" w:w="2268"/>
          </w:tcPr>
          <w:p>
            <w:r>
              <w:rPr>
                <w:rFonts w:ascii="Times New Roman" w:hAnsi="Times New Roman"/>
                <w:sz w:val="20"/>
              </w:rPr>
              <w:t>Mira Holzbach</w:t>
            </w:r>
          </w:p>
        </w:tc>
        <w:tc>
          <w:tcPr>
            <w:tcW w:type="dxa" w:w="2268"/>
          </w:tcPr>
          <w:p>
            <w:r>
              <w:rPr>
                <w:rFonts w:ascii="Times New Roman" w:hAnsi="Times New Roman"/>
                <w:sz w:val="20"/>
              </w:rPr>
              <w:t>7.000 EUR</w:t>
            </w:r>
          </w:p>
        </w:tc>
        <w:tc>
          <w:tcPr>
            <w:tcW w:type="dxa" w:w="2268"/>
          </w:tcPr>
          <w:p>
            <w:r>
              <w:rPr>
                <w:rFonts w:ascii="Times New Roman" w:hAnsi="Times New Roman"/>
                <w:sz w:val="20"/>
              </w:rPr>
              <w:t>28,0</w:t>
            </w:r>
          </w:p>
        </w:tc>
        <w:tc>
          <w:tcPr>
            <w:tcW w:type="dxa" w:w="2268"/>
          </w:tcPr>
          <w:p>
            <w:r>
              <w:rPr>
                <w:rFonts w:ascii="Times New Roman" w:hAnsi="Times New Roman"/>
                <w:sz w:val="20"/>
              </w:rPr>
              <w:t>3.500 EUR</w:t>
            </w:r>
          </w:p>
        </w:tc>
      </w:tr>
      <w:tr>
        <w:tc>
          <w:tcPr>
            <w:tcW w:type="dxa" w:w="2268"/>
          </w:tcPr>
          <w:p>
            <w:r>
              <w:rPr>
                <w:rFonts w:ascii="Times New Roman" w:hAnsi="Times New Roman"/>
                <w:sz w:val="20"/>
              </w:rPr>
              <w:t>Summe</w:t>
            </w:r>
          </w:p>
        </w:tc>
        <w:tc>
          <w:tcPr>
            <w:tcW w:type="dxa" w:w="2268"/>
          </w:tcPr>
          <w:p>
            <w:r>
              <w:rPr>
                <w:rFonts w:ascii="Times New Roman" w:hAnsi="Times New Roman"/>
                <w:sz w:val="20"/>
              </w:rPr>
              <w:t>25.000 EUR</w:t>
            </w:r>
          </w:p>
        </w:tc>
        <w:tc>
          <w:tcPr>
            <w:tcW w:type="dxa" w:w="2268"/>
          </w:tcPr>
          <w:p>
            <w:r>
              <w:rPr>
                <w:rFonts w:ascii="Times New Roman" w:hAnsi="Times New Roman"/>
                <w:sz w:val="20"/>
              </w:rPr>
              <w:t>100,0</w:t>
            </w:r>
          </w:p>
        </w:tc>
        <w:tc>
          <w:tcPr>
            <w:tcW w:type="dxa" w:w="2268"/>
          </w:tcPr>
          <w:p>
            <w:r>
              <w:rPr>
                <w:rFonts w:ascii="Times New Roman" w:hAnsi="Times New Roman"/>
                <w:sz w:val="20"/>
              </w:rPr>
              <w:t>12.500 EUR</w:t>
            </w:r>
          </w:p>
        </w:tc>
      </w:tr>
    </w:tbl>
    <w:p>
      <w:pPr>
        <w:jc w:val="left"/>
      </w:pPr>
      <w:r>
        <w:t>Resteinlageverpflichtung gegenüber der Gesellschaft, fällig nach Anforderung durch die Geschäftsführerin.</w:t>
      </w:r>
    </w:p>
    <w:p>
      <w:pPr>
        <w:jc w:val="left"/>
      </w:pPr>
      <w:r>
        <w:t>Beschluss: einstimmig.</w:t>
      </w:r>
    </w:p>
    <w:p>
      <w:pPr>
        <w:pStyle w:val="Heading2"/>
      </w:pPr>
      <w:r>
        <w:rPr>
          <w:rFonts w:ascii="Times New Roman" w:hAnsi="Times New Roman"/>
        </w:rPr>
        <w:t>3. Satzung versus Musterprotokoll</w:t>
      </w:r>
    </w:p>
    <w:p>
      <w:pPr>
        <w:jc w:val="left"/>
      </w:pPr>
      <w:r>
        <w:t>Frau Dr. Vermeulen (Notarin) hatte vorab schriftlich darauf hingewiesen, dass das Musterprotokoll für unsere Eckpunkte nicht ausreicht. Die Gründer bestätigen die Entscheidung für eine individuelle Satzung. Begründung wird ins Protokoll aufgenommen:</w:t>
      </w:r>
    </w:p>
    <w:p>
      <w:pPr>
        <w:pStyle w:val="ListBullet"/>
      </w:pPr>
      <w:r>
        <w:t>Vinkulierung erforderlich</w:t>
      </w:r>
    </w:p>
    <w:p>
      <w:pPr>
        <w:pStyle w:val="ListBullet"/>
      </w:pPr>
      <w:r>
        <w:t>Einziehungsmöglichkeit bei wichtigem Grund (insbesondere bei Pfändung, Insolvenz, schwerer Pflichtverletzung)</w:t>
      </w:r>
    </w:p>
    <w:p>
      <w:pPr>
        <w:pStyle w:val="ListBullet"/>
      </w:pPr>
      <w:r>
        <w:t>Vorerwerbsrecht der Mitgesellschafter</w:t>
      </w:r>
    </w:p>
    <w:p>
      <w:pPr>
        <w:pStyle w:val="ListBullet"/>
      </w:pPr>
      <w:r>
        <w:t>Befreiung von Paragraph 181 BGB für die Geschäftsführerin</w:t>
      </w:r>
    </w:p>
    <w:p>
      <w:pPr>
        <w:pStyle w:val="ListBullet"/>
      </w:pPr>
      <w:r>
        <w:t>Wettbewerbsverbot mit Befreiungsmöglichkeit durch einfachen Beschluss</w:t>
      </w:r>
    </w:p>
    <w:p>
      <w:pPr>
        <w:pStyle w:val="ListBullet"/>
      </w:pPr>
      <w:r>
        <w:t>Erweiterte Beschlussmehrheiten für satzungsändernde Beschlüsse (75 Prozent)</w:t>
      </w:r>
    </w:p>
    <w:p>
      <w:pPr>
        <w:jc w:val="left"/>
      </w:pPr>
      <w:r>
        <w:t>Beschluss: individuelle Satzung. Notarbriefing wird Frau Dr. Vermeulen am Montag, 18.05.2026, übergeben.</w:t>
      </w:r>
    </w:p>
    <w:p>
      <w:pPr>
        <w:pStyle w:val="Heading2"/>
      </w:pPr>
      <w:r>
        <w:rPr>
          <w:rFonts w:ascii="Times New Roman" w:hAnsi="Times New Roman"/>
        </w:rPr>
        <w:t>4. Vesting und Side-Letter</w:t>
      </w:r>
    </w:p>
    <w:p>
      <w:pPr>
        <w:jc w:val="left"/>
      </w:pPr>
      <w:r>
        <w:t>Jonas möchte ursprünglich eine Vesting-Laufzeit von drei Jahren, Aylin und Mira plädieren für vier Jahre. Kompromiss:</w:t>
      </w:r>
    </w:p>
    <w:p>
      <w:pPr>
        <w:pStyle w:val="ListBullet"/>
      </w:pPr>
      <w:r>
        <w:rPr>
          <w:b/>
        </w:rPr>
        <w:t>Vier Jahre Vesting</w:t>
      </w:r>
      <w:r>
        <w:t xml:space="preserve"> mit zwölf Monaten Cliff</w:t>
      </w:r>
    </w:p>
    <w:p>
      <w:pPr>
        <w:pStyle w:val="ListBullet"/>
      </w:pPr>
      <w:r>
        <w:t>Monatliche Vesting nach Cliff</w:t>
      </w:r>
    </w:p>
    <w:p>
      <w:pPr>
        <w:pStyle w:val="ListBullet"/>
      </w:pPr>
      <w:r>
        <w:t>Reverse Vesting: Anteile sind ab Tag eins voll bei den Gründern, müssen bei Ausscheiden vor Vollvesting anteilig zum Nominalwert zurückgegeben werden.</w:t>
      </w:r>
    </w:p>
    <w:p>
      <w:pPr>
        <w:pStyle w:val="ListBullet"/>
      </w:pPr>
      <w:r>
        <w:t>Good-Leaver / Bad-Leaver:</w:t>
      </w:r>
    </w:p>
    <w:p>
      <w:pPr>
        <w:pStyle w:val="ListBullet"/>
      </w:pPr>
      <w:r>
        <w:rPr>
          <w:b/>
        </w:rPr>
        <w:t>Good Leaver</w:t>
      </w:r>
      <w:r>
        <w:t>: Ausscheiden wegen Krankheit, Tod, vom Unternehmen veranlasste Beendigung ohne Verschulden, einvernehmlicher Austritt mit Zustimmung der Mehrheit der anderen Gründer. Rückgabe der unvested Anteile zum Nominalwert.</w:t>
      </w:r>
    </w:p>
    <w:p>
      <w:pPr>
        <w:pStyle w:val="ListBullet"/>
      </w:pPr>
      <w:r>
        <w:rPr>
          <w:b/>
        </w:rPr>
        <w:t>Bad Leaver</w:t>
      </w:r>
      <w:r>
        <w:t xml:space="preserve">: schwere Pflichtverletzung, Kündigung der Geschäftsführerstellung durch die Gesellschafterversammlung aus wichtigem Grund, Wettbewerbsverstoß. Rückgabe </w:t>
      </w:r>
      <w:r>
        <w:rPr>
          <w:b/>
        </w:rPr>
        <w:t>aller</w:t>
      </w:r>
      <w:r>
        <w:t xml:space="preserve"> Anteile zum Nominalwert.</w:t>
      </w:r>
    </w:p>
    <w:p>
      <w:pPr>
        <w:pStyle w:val="ListBullet"/>
      </w:pPr>
      <w:r>
        <w:t>Vesting-Klausel im Side-Letter, der zwischen den drei Gründern und Pfaffenrode unterzeichnet wird. Satzung erhält Einziehungsmöglichkeit für die Sicherung.</w:t>
      </w:r>
    </w:p>
    <w:p>
      <w:pPr>
        <w:jc w:val="left"/>
      </w:pPr>
      <w:r>
        <w:t>Aylin merkt an: Der Side-Letter ist schuldrechtlich, die Einziehungsklausel in der Satzung ist gesellschaftsrechtlich. Beides muss aufeinander abgestimmt sein, sonst gibt es Lücken.</w:t>
      </w:r>
    </w:p>
    <w:p>
      <w:pPr>
        <w:jc w:val="left"/>
      </w:pPr>
      <w:r>
        <w:t>Beschluss: einstimmig.</w:t>
      </w:r>
    </w:p>
    <w:p>
      <w:pPr>
        <w:pStyle w:val="Heading2"/>
      </w:pPr>
      <w:r>
        <w:rPr>
          <w:rFonts w:ascii="Times New Roman" w:hAnsi="Times New Roman"/>
        </w:rPr>
        <w:t>5. Geschäftsführung</w:t>
      </w:r>
    </w:p>
    <w:p>
      <w:pPr>
        <w:pStyle w:val="ListBullet"/>
      </w:pPr>
      <w:r>
        <w:rPr>
          <w:b/>
        </w:rPr>
        <w:t>Aylin Soeren</w:t>
      </w:r>
      <w:r>
        <w:t>: Geschäftsführerin, einzelvertretungsberechtigt, befreit von Paragraph 181 BGB.</w:t>
      </w:r>
    </w:p>
    <w:p>
      <w:pPr>
        <w:pStyle w:val="ListBullet"/>
      </w:pPr>
      <w:r>
        <w:rPr>
          <w:b/>
        </w:rPr>
        <w:t>Mira Holzbach</w:t>
      </w:r>
      <w:r>
        <w:t>: Prokuristin nach Eintragung der Gesellschaft. Erteilung der Prokura durch Aylin in einem separaten Akt, Eintragung beim Handelsregister.</w:t>
      </w:r>
    </w:p>
    <w:p>
      <w:pPr>
        <w:pStyle w:val="ListBullet"/>
      </w:pPr>
      <w:r>
        <w:rPr>
          <w:b/>
        </w:rPr>
        <w:t>Jonas Kreutzberger</w:t>
      </w:r>
      <w:r>
        <w:t>: CTO, keine Vertretungsmacht nach außen, interne Geschäftsverantwortung für Technik.</w:t>
      </w:r>
    </w:p>
    <w:p>
      <w:pPr>
        <w:jc w:val="left"/>
      </w:pPr>
      <w:r>
        <w:t>Geschäftsführerordnung (intern) regelt Ressorts und Zustimmungsvorbehalte (z.B. Verträge über 10.000 EUR, Personalentscheidungen, Verträge mit nahen Angehörigen).</w:t>
      </w:r>
    </w:p>
    <w:p>
      <w:pPr>
        <w:jc w:val="left"/>
      </w:pPr>
      <w:r>
        <w:t>Beschluss: einstimmig.</w:t>
      </w:r>
    </w:p>
    <w:p>
      <w:pPr>
        <w:pStyle w:val="Heading2"/>
      </w:pPr>
      <w:r>
        <w:rPr>
          <w:rFonts w:ascii="Times New Roman" w:hAnsi="Times New Roman"/>
        </w:rPr>
        <w:t>6. Sacheinlage und Lizenzvertrag Domain/Repository</w:t>
      </w:r>
    </w:p>
    <w:p>
      <w:pPr>
        <w:jc w:val="left"/>
      </w:pPr>
      <w:r>
        <w:t xml:space="preserve">Sacheinlage wird </w:t>
      </w:r>
      <w:r>
        <w:rPr>
          <w:b/>
        </w:rPr>
        <w:t>nicht</w:t>
      </w:r>
      <w:r>
        <w:t xml:space="preserve"> gemacht. Mira räumt der Gesellschaft per separatem Lizenzvertrag eine unentgeltliche, einfache, übertragbare Nutzungslizenz an:</w:t>
      </w:r>
    </w:p>
    <w:p>
      <w:pPr>
        <w:pStyle w:val="ListBullet"/>
      </w:pPr>
      <w:r>
        <w:t>Domain neurochain.io</w:t>
      </w:r>
    </w:p>
    <w:p>
      <w:pPr>
        <w:pStyle w:val="ListBullet"/>
      </w:pPr>
      <w:r>
        <w:t>Code-Repository "agent-mesh-protocol" Version 0.4.x (Stand 15.05.2026)</w:t>
      </w:r>
    </w:p>
    <w:p>
      <w:pPr>
        <w:jc w:val="left"/>
      </w:pPr>
      <w:r>
        <w:t>ein. Lizenzvertrag wird parallel zur Gründung unterzeichnet. Spätere Übertragung in das Eigentum der Gesellschaft gegen Kaufpreis aus laufenden Mitteln frühestens zwölf Monate nach Eintragung. Kaufpreis nach unabhängiger Bewertung oder marktüblichem Multiple.</w:t>
      </w:r>
    </w:p>
    <w:p>
      <w:pPr>
        <w:jc w:val="left"/>
      </w:pPr>
      <w:r>
        <w:t>Aylin warnt vor verdeckter Sacheinlage Paragraph 19 Absatz 4 GmbHG und verdeckter Gewinnausschüttung. Eichbaum hat schriftlich bestätigt, dass eine kostenfreie Nutzungslizenz unschädlich ist, sofern keine Verknüpfung mit der Einlagepflicht besteht.</w:t>
      </w:r>
    </w:p>
    <w:p>
      <w:pPr>
        <w:jc w:val="left"/>
      </w:pPr>
      <w:r>
        <w:t>Beschluss: einstimmig.</w:t>
      </w:r>
    </w:p>
    <w:p>
      <w:pPr>
        <w:pStyle w:val="Heading2"/>
      </w:pPr>
      <w:r>
        <w:rPr>
          <w:rFonts w:ascii="Times New Roman" w:hAnsi="Times New Roman"/>
        </w:rPr>
        <w:t>7. Steuerliche Eckpunkte</w:t>
      </w:r>
    </w:p>
    <w:p>
      <w:pPr>
        <w:pStyle w:val="ListBullet"/>
      </w:pPr>
      <w:r>
        <w:t>Gewerbeanmeldung Berlin-Mitte sofort nach Eintragung im Handelsregister.</w:t>
      </w:r>
    </w:p>
    <w:p>
      <w:pPr>
        <w:pStyle w:val="ListBullet"/>
      </w:pPr>
      <w:r>
        <w:t>Steuerliche Erfassung beim Finanzamt für Körperschaften I in Berlin.</w:t>
      </w:r>
    </w:p>
    <w:p>
      <w:pPr>
        <w:pStyle w:val="ListBullet"/>
      </w:pPr>
      <w:r>
        <w:t>Umsatzsteuer-Voranmeldung monatlich in den ersten beiden Jahren.</w:t>
      </w:r>
    </w:p>
    <w:p>
      <w:pPr>
        <w:pStyle w:val="ListBullet"/>
      </w:pPr>
      <w:r>
        <w:t>Vorsicht vGA bei künftiger Übertragung Domain/Repository von Mira an Gesellschaft.</w:t>
      </w:r>
    </w:p>
    <w:p>
      <w:pPr>
        <w:pStyle w:val="ListBullet"/>
      </w:pPr>
      <w:r>
        <w:t>Sondervergütungen der Geschäftsführerin ab Vertragsschluss; Geschäftsführerdienstvertrag separat.</w:t>
      </w:r>
    </w:p>
    <w:p>
      <w:pPr>
        <w:pStyle w:val="Heading2"/>
      </w:pPr>
      <w:r>
        <w:rPr>
          <w:rFonts w:ascii="Times New Roman" w:hAnsi="Times New Roman"/>
        </w:rPr>
        <w:t>8. KI-Verordnung und MiCAR</w:t>
      </w:r>
    </w:p>
    <w:p>
      <w:pPr>
        <w:pStyle w:val="ListBullet"/>
      </w:pPr>
      <w:r>
        <w:t>KI-VO Transparenzpflichten Artikel 50 prüfen.</w:t>
      </w:r>
    </w:p>
    <w:p>
      <w:pPr>
        <w:pStyle w:val="ListBullet"/>
      </w:pPr>
      <w:r>
        <w:t xml:space="preserve">Token-Emission </w:t>
      </w:r>
      <w:r>
        <w:rPr>
          <w:b/>
        </w:rPr>
        <w:t>nicht</w:t>
      </w:r>
      <w:r>
        <w:t xml:space="preserve"> in den ersten zwölf Monaten. Vorher BaFin-Vorabklärung.</w:t>
      </w:r>
    </w:p>
    <w:p>
      <w:pPr>
        <w:pStyle w:val="ListBullet"/>
      </w:pPr>
      <w:r>
        <w:t>DSGVO-Verzeichnis von Verarbeitungstätigkeiten ab Tag eins.</w:t>
      </w:r>
    </w:p>
    <w:p>
      <w:pPr>
        <w:pStyle w:val="Heading2"/>
      </w:pPr>
      <w:r>
        <w:rPr>
          <w:rFonts w:ascii="Times New Roman" w:hAnsi="Times New Roman"/>
        </w:rPr>
        <w:t>9. Nächste Schritte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Verantwortlich</w:t>
            </w:r>
          </w:p>
        </w:tc>
        <w:tc>
          <w:tcPr>
            <w:tcW w:type="dxa" w:w="3024"/>
          </w:tcPr>
          <w:p>
            <w:r>
              <w:rPr>
                <w:rFonts w:ascii="Times New Roman" w:hAnsi="Times New Roman"/>
                <w:b/>
                <w:sz w:val="20"/>
              </w:rPr>
              <w:t>Aufgabe</w:t>
            </w:r>
          </w:p>
        </w:tc>
        <w:tc>
          <w:tcPr>
            <w:tcW w:type="dxa" w:w="3024"/>
          </w:tcPr>
          <w:p>
            <w:r>
              <w:rPr>
                <w:rFonts w:ascii="Times New Roman" w:hAnsi="Times New Roman"/>
                <w:b/>
                <w:sz w:val="20"/>
              </w:rPr>
              <w:t>Frist</w:t>
            </w:r>
          </w:p>
        </w:tc>
      </w:tr>
      <w:tr>
        <w:tc>
          <w:tcPr>
            <w:tcW w:type="dxa" w:w="3024"/>
          </w:tcPr>
          <w:p>
            <w:r>
              <w:rPr>
                <w:rFonts w:ascii="Times New Roman" w:hAnsi="Times New Roman"/>
                <w:sz w:val="20"/>
              </w:rPr>
              <w:t>Aylin</w:t>
            </w:r>
          </w:p>
        </w:tc>
        <w:tc>
          <w:tcPr>
            <w:tcW w:type="dxa" w:w="3024"/>
          </w:tcPr>
          <w:p>
            <w:r>
              <w:rPr>
                <w:rFonts w:ascii="Times New Roman" w:hAnsi="Times New Roman"/>
                <w:sz w:val="20"/>
              </w:rPr>
              <w:t>Notarbriefing finalisieren</w:t>
            </w:r>
          </w:p>
        </w:tc>
        <w:tc>
          <w:tcPr>
            <w:tcW w:type="dxa" w:w="3024"/>
          </w:tcPr>
          <w:p>
            <w:r>
              <w:rPr>
                <w:rFonts w:ascii="Times New Roman" w:hAnsi="Times New Roman"/>
                <w:sz w:val="20"/>
              </w:rPr>
              <w:t>Montag, 18.05.2026</w:t>
            </w:r>
          </w:p>
        </w:tc>
      </w:tr>
      <w:tr>
        <w:tc>
          <w:tcPr>
            <w:tcW w:type="dxa" w:w="3024"/>
          </w:tcPr>
          <w:p>
            <w:r>
              <w:rPr>
                <w:rFonts w:ascii="Times New Roman" w:hAnsi="Times New Roman"/>
                <w:sz w:val="20"/>
              </w:rPr>
              <w:t>Mira</w:t>
            </w:r>
          </w:p>
        </w:tc>
        <w:tc>
          <w:tcPr>
            <w:tcW w:type="dxa" w:w="3024"/>
          </w:tcPr>
          <w:p>
            <w:r>
              <w:rPr>
                <w:rFonts w:ascii="Times New Roman" w:hAnsi="Times New Roman"/>
                <w:sz w:val="20"/>
              </w:rPr>
              <w:t>Lizenzvertrag Domain/Repository Entwurf</w:t>
            </w:r>
          </w:p>
        </w:tc>
        <w:tc>
          <w:tcPr>
            <w:tcW w:type="dxa" w:w="3024"/>
          </w:tcPr>
          <w:p>
            <w:r>
              <w:rPr>
                <w:rFonts w:ascii="Times New Roman" w:hAnsi="Times New Roman"/>
                <w:sz w:val="20"/>
              </w:rPr>
              <w:t>Dienstag, 19.05.2026</w:t>
            </w:r>
          </w:p>
        </w:tc>
      </w:tr>
      <w:tr>
        <w:tc>
          <w:tcPr>
            <w:tcW w:type="dxa" w:w="3024"/>
          </w:tcPr>
          <w:p>
            <w:r>
              <w:rPr>
                <w:rFonts w:ascii="Times New Roman" w:hAnsi="Times New Roman"/>
                <w:sz w:val="20"/>
              </w:rPr>
              <w:t>Jonas</w:t>
            </w:r>
          </w:p>
        </w:tc>
        <w:tc>
          <w:tcPr>
            <w:tcW w:type="dxa" w:w="3024"/>
          </w:tcPr>
          <w:p>
            <w:r>
              <w:rPr>
                <w:rFonts w:ascii="Times New Roman" w:hAnsi="Times New Roman"/>
                <w:sz w:val="20"/>
              </w:rPr>
              <w:t>Termsheet mit Pfaffenrode gegenzeichnen</w:t>
            </w:r>
          </w:p>
        </w:tc>
        <w:tc>
          <w:tcPr>
            <w:tcW w:type="dxa" w:w="3024"/>
          </w:tcPr>
          <w:p>
            <w:r>
              <w:rPr>
                <w:rFonts w:ascii="Times New Roman" w:hAnsi="Times New Roman"/>
                <w:sz w:val="20"/>
              </w:rPr>
              <w:t>Mittwoch, 20.05.2026</w:t>
            </w:r>
          </w:p>
        </w:tc>
      </w:tr>
      <w:tr>
        <w:tc>
          <w:tcPr>
            <w:tcW w:type="dxa" w:w="3024"/>
          </w:tcPr>
          <w:p>
            <w:r>
              <w:rPr>
                <w:rFonts w:ascii="Times New Roman" w:hAnsi="Times New Roman"/>
                <w:sz w:val="20"/>
              </w:rPr>
              <w:t>Aylin</w:t>
            </w:r>
          </w:p>
        </w:tc>
        <w:tc>
          <w:tcPr>
            <w:tcW w:type="dxa" w:w="3024"/>
          </w:tcPr>
          <w:p>
            <w:r>
              <w:rPr>
                <w:rFonts w:ascii="Times New Roman" w:hAnsi="Times New Roman"/>
                <w:sz w:val="20"/>
              </w:rPr>
              <w:t>Termin Eichbaum (Sacheinlage-Check)</w:t>
            </w:r>
          </w:p>
        </w:tc>
        <w:tc>
          <w:tcPr>
            <w:tcW w:type="dxa" w:w="3024"/>
          </w:tcPr>
          <w:p>
            <w:r>
              <w:rPr>
                <w:rFonts w:ascii="Times New Roman" w:hAnsi="Times New Roman"/>
                <w:sz w:val="20"/>
              </w:rPr>
              <w:t>Mittwoch, 20.05.2026</w:t>
            </w:r>
          </w:p>
        </w:tc>
      </w:tr>
      <w:tr>
        <w:tc>
          <w:tcPr>
            <w:tcW w:type="dxa" w:w="3024"/>
          </w:tcPr>
          <w:p>
            <w:r>
              <w:rPr>
                <w:rFonts w:ascii="Times New Roman" w:hAnsi="Times New Roman"/>
                <w:sz w:val="20"/>
              </w:rPr>
              <w:t>alle</w:t>
            </w:r>
          </w:p>
        </w:tc>
        <w:tc>
          <w:tcPr>
            <w:tcW w:type="dxa" w:w="3024"/>
          </w:tcPr>
          <w:p>
            <w:r>
              <w:rPr>
                <w:rFonts w:ascii="Times New Roman" w:hAnsi="Times New Roman"/>
                <w:sz w:val="20"/>
              </w:rPr>
              <w:t>Notartermin mit Frau Dr. Vermeulen</w:t>
            </w:r>
          </w:p>
        </w:tc>
        <w:tc>
          <w:tcPr>
            <w:tcW w:type="dxa" w:w="3024"/>
          </w:tcPr>
          <w:p>
            <w:r>
              <w:rPr>
                <w:rFonts w:ascii="Times New Roman" w:hAnsi="Times New Roman"/>
                <w:sz w:val="20"/>
              </w:rPr>
              <w:t>Mittwoch, 03.06.2026, 11:00 Uhr</w:t>
            </w:r>
          </w:p>
        </w:tc>
      </w:tr>
      <w:tr>
        <w:tc>
          <w:tcPr>
            <w:tcW w:type="dxa" w:w="3024"/>
          </w:tcPr>
          <w:p>
            <w:r>
              <w:rPr>
                <w:rFonts w:ascii="Times New Roman" w:hAnsi="Times New Roman"/>
                <w:sz w:val="20"/>
              </w:rPr>
              <w:t>Aylin</w:t>
            </w:r>
          </w:p>
        </w:tc>
        <w:tc>
          <w:tcPr>
            <w:tcW w:type="dxa" w:w="3024"/>
          </w:tcPr>
          <w:p>
            <w:r>
              <w:rPr>
                <w:rFonts w:ascii="Times New Roman" w:hAnsi="Times New Roman"/>
                <w:sz w:val="20"/>
              </w:rPr>
              <w:t>Anmeldung Handelsregister vorbereiten</w:t>
            </w:r>
          </w:p>
        </w:tc>
        <w:tc>
          <w:tcPr>
            <w:tcW w:type="dxa" w:w="3024"/>
          </w:tcPr>
          <w:p>
            <w:r>
              <w:rPr>
                <w:rFonts w:ascii="Times New Roman" w:hAnsi="Times New Roman"/>
                <w:sz w:val="20"/>
              </w:rPr>
              <w:t>nach Beurkundung</w:t>
            </w:r>
          </w:p>
        </w:tc>
      </w:tr>
      <w:tr>
        <w:tc>
          <w:tcPr>
            <w:tcW w:type="dxa" w:w="3024"/>
          </w:tcPr>
          <w:p>
            <w:r>
              <w:rPr>
                <w:rFonts w:ascii="Times New Roman" w:hAnsi="Times New Roman"/>
                <w:sz w:val="20"/>
              </w:rPr>
              <w:t>Mira</w:t>
            </w:r>
          </w:p>
        </w:tc>
        <w:tc>
          <w:tcPr>
            <w:tcW w:type="dxa" w:w="3024"/>
          </w:tcPr>
          <w:p>
            <w:r>
              <w:rPr>
                <w:rFonts w:ascii="Times New Roman" w:hAnsi="Times New Roman"/>
                <w:sz w:val="20"/>
              </w:rPr>
              <w:t>Transparenzregister-Eintrag wirtschaftlich Berechtigte</w:t>
            </w:r>
          </w:p>
        </w:tc>
        <w:tc>
          <w:tcPr>
            <w:tcW w:type="dxa" w:w="3024"/>
          </w:tcPr>
          <w:p>
            <w:r>
              <w:rPr>
                <w:rFonts w:ascii="Times New Roman" w:hAnsi="Times New Roman"/>
                <w:sz w:val="20"/>
              </w:rPr>
              <w:t>nach Eintragung HR</w:t>
            </w:r>
          </w:p>
        </w:tc>
      </w:tr>
      <w:tr>
        <w:tc>
          <w:tcPr>
            <w:tcW w:type="dxa" w:w="3024"/>
          </w:tcPr>
          <w:p>
            <w:r>
              <w:rPr>
                <w:rFonts w:ascii="Times New Roman" w:hAnsi="Times New Roman"/>
                <w:sz w:val="20"/>
              </w:rPr>
              <w:t>Jonas</w:t>
            </w:r>
          </w:p>
        </w:tc>
        <w:tc>
          <w:tcPr>
            <w:tcW w:type="dxa" w:w="3024"/>
          </w:tcPr>
          <w:p>
            <w:r>
              <w:rPr>
                <w:rFonts w:ascii="Times New Roman" w:hAnsi="Times New Roman"/>
                <w:sz w:val="20"/>
              </w:rPr>
              <w:t>Bankkonto Geschäftsgirokonto</w:t>
            </w:r>
          </w:p>
        </w:tc>
        <w:tc>
          <w:tcPr>
            <w:tcW w:type="dxa" w:w="3024"/>
          </w:tcPr>
          <w:p>
            <w:r>
              <w:rPr>
                <w:rFonts w:ascii="Times New Roman" w:hAnsi="Times New Roman"/>
                <w:sz w:val="20"/>
              </w:rPr>
              <w:t>nach Beurkundung, vor Eintragung</w:t>
            </w:r>
          </w:p>
        </w:tc>
      </w:tr>
    </w:tbl>
    <w:p>
      <w:pPr>
        <w:pStyle w:val="Heading2"/>
      </w:pPr>
      <w:r>
        <w:rPr>
          <w:rFonts w:ascii="Times New Roman" w:hAnsi="Times New Roman"/>
        </w:rPr>
        <w:t>10. Schluss</w:t>
      </w:r>
    </w:p>
    <w:p>
      <w:pPr>
        <w:jc w:val="left"/>
      </w:pPr>
      <w:r>
        <w:t>Aylin schließt den Workshop um 17:28 Uhr. Nächstes Treffen Montag, 18.05.2026, virtuell.</w:t>
      </w:r>
    </w:p>
    <w:p/>
    <w:p>
      <w:pPr>
        <w:jc w:val="left"/>
      </w:pPr>
      <w:r>
        <w:t>Berlin, 15.05.2026</w:t>
      </w:r>
    </w:p>
    <w:p>
      <w:pPr>
        <w:jc w:val="left"/>
      </w:pPr>
      <w:r>
        <w:t>Mira Holzbach (Protokoll)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