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Termsheet Sebastian Pfaffenrode (Angel) — NeuroChain Labs GmbH (i.G.)</w:t>
      </w:r>
    </w:p>
    <w:p>
      <w:pPr>
        <w:jc w:val="left"/>
      </w:pPr>
      <w:r>
        <w:rPr>
          <w:b/>
        </w:rPr>
        <w:t>Stand: 14.05.2026, unverbindlich, vorbehaltlich Closing-Bedingungen.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Sebastian Pfaffenrode, geboren 1972, wohnhaft Berlin-Charlottenburg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NeuroChain Labs GmbH (in Gründung), Sitz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Pre-Money 950.000 EUR, Post-Money 1.000.000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5,0 Prozent der Geschäftsanteile nach Kapitalerhöhung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Bareinlage in Kapitalerhöhung gegen Ausgabe neuer Geschäftsanteile nach Eintragung der 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spätestens 31.07.2026, abhängig von Eintragung der Gesellschaft im Handelsregister und Side-Letter-Unterzeichnung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Wesentliche Konditionen</w:t>
      </w:r>
    </w:p>
    <w:p>
      <w:pPr>
        <w:pStyle w:val="Heading3"/>
      </w:pPr>
      <w:r>
        <w:rPr>
          <w:rFonts w:ascii="Times New Roman" w:hAnsi="Times New Roman"/>
        </w:rPr>
        <w:t>1. Vesting</w:t>
      </w:r>
    </w:p>
    <w:p>
      <w:pPr>
        <w:pStyle w:val="ListBullet"/>
      </w:pPr>
      <w:r>
        <w:t>Vesting-Laufzeit: vier Jahre</w:t>
      </w:r>
    </w:p>
    <w:p>
      <w:pPr>
        <w:pStyle w:val="ListBullet"/>
      </w:pPr>
      <w:r>
        <w:t>Cliff: zwölf Monate</w:t>
      </w:r>
    </w:p>
    <w:p>
      <w:pPr>
        <w:pStyle w:val="ListBullet"/>
      </w:pPr>
      <w:r>
        <w:t>Frequenz: monatlich nach Cliff</w:t>
      </w:r>
    </w:p>
    <w:p>
      <w:pPr>
        <w:pStyle w:val="ListBullet"/>
      </w:pPr>
      <w:r>
        <w:t>Reverse Vesting der Gründer-Anteile</w:t>
      </w:r>
    </w:p>
    <w:p>
      <w:pPr>
        <w:pStyle w:val="ListBullet"/>
      </w:pPr>
      <w:r>
        <w:t>Good-Leaver: Rückgabe unvested Anteile zum Nominalwert</w:t>
      </w:r>
    </w:p>
    <w:p>
      <w:pPr>
        <w:pStyle w:val="ListBullet"/>
      </w:pPr>
      <w:r>
        <w:t xml:space="preserve">Bad-Leaver: Rückgabe </w:t>
      </w:r>
      <w:r>
        <w:rPr>
          <w:b/>
        </w:rPr>
        <w:t>aller</w:t>
      </w:r>
      <w:r>
        <w:t xml:space="preserve"> Anteile zum Nominalwert</w:t>
      </w:r>
    </w:p>
    <w:p>
      <w:pPr>
        <w:pStyle w:val="ListBullet"/>
      </w:pPr>
      <w:r>
        <w:t>gilt für alle drei Gründer (Aylin Soeren, Jonas Kreutzberger, Mira Holzbach)</w:t>
      </w:r>
    </w:p>
    <w:p>
      <w:pPr>
        <w:pStyle w:val="Heading3"/>
      </w:pPr>
      <w:r>
        <w:rPr>
          <w:rFonts w:ascii="Times New Roman" w:hAnsi="Times New Roman"/>
        </w:rPr>
        <w:t>2. Side-Letter</w:t>
      </w:r>
    </w:p>
    <w:p>
      <w:pPr>
        <w:jc w:val="left"/>
      </w:pPr>
      <w:r>
        <w:t>Side-Letter zwischen den drei Gründern und Pfaffenrode. Inhalt:</w:t>
      </w:r>
    </w:p>
    <w:p>
      <w:pPr>
        <w:pStyle w:val="ListBullet"/>
      </w:pPr>
      <w:r>
        <w:t>Vesting-Mechanik</w:t>
      </w:r>
    </w:p>
    <w:p>
      <w:pPr>
        <w:pStyle w:val="ListBullet"/>
      </w:pPr>
      <w:r>
        <w:t>Pro-Rata-Recht des Investors bei künftigen Kapitalerhöhungen (Beibehaltung der 5 Prozent)</w:t>
      </w:r>
    </w:p>
    <w:p>
      <w:pPr>
        <w:pStyle w:val="ListBullet"/>
      </w:pPr>
      <w:r>
        <w:t>Information Rights: vierteljährliches Reporting, Jahresbericht, Cap Table aktuell</w:t>
      </w:r>
    </w:p>
    <w:p>
      <w:pPr>
        <w:pStyle w:val="ListBullet"/>
      </w:pPr>
      <w:r>
        <w:t>Vorerwerbsrecht und Andienungsrecht bei Anteilsverkäufen der Gründer</w:t>
      </w:r>
    </w:p>
    <w:p>
      <w:pPr>
        <w:pStyle w:val="ListBullet"/>
      </w:pPr>
      <w:r>
        <w:t>Drag-Along ab einer Mehrheit von 75 Prozent</w:t>
      </w:r>
    </w:p>
    <w:p>
      <w:pPr>
        <w:pStyle w:val="ListBullet"/>
      </w:pPr>
      <w:r>
        <w:t>Tag-Along ab einem Verkauf von mehr als 25 Prozent durch einen oder mehrere Gründer</w:t>
      </w:r>
    </w:p>
    <w:p>
      <w:pPr>
        <w:pStyle w:val="ListBullet"/>
      </w:pPr>
      <w:r>
        <w:t>Mitwirkung an wesentlichen Beschlüssen (Veto-Katalog siehe Punkt 3)</w:t>
      </w:r>
    </w:p>
    <w:p>
      <w:pPr>
        <w:pStyle w:val="Heading3"/>
      </w:pPr>
      <w:r>
        <w:rPr>
          <w:rFonts w:ascii="Times New Roman" w:hAnsi="Times New Roman"/>
        </w:rPr>
        <w:t>3. Veto-Katalog</w:t>
      </w:r>
    </w:p>
    <w:p>
      <w:pPr>
        <w:jc w:val="left"/>
      </w:pPr>
      <w:r>
        <w:t>Folgende Beschlüsse bedürfen der Zustimmung des Investors:</w:t>
      </w:r>
    </w:p>
    <w:p>
      <w:pPr>
        <w:pStyle w:val="ListBullet"/>
      </w:pPr>
      <w:r>
        <w:t>Satzungsänderungen</w:t>
      </w:r>
    </w:p>
    <w:p>
      <w:pPr>
        <w:pStyle w:val="ListBullet"/>
      </w:pPr>
      <w:r>
        <w:t>Kapitalerhöhungen und Kapitalherabsetzungen</w:t>
      </w:r>
    </w:p>
    <w:p>
      <w:pPr>
        <w:pStyle w:val="ListBullet"/>
      </w:pPr>
      <w:r>
        <w:t>Aufnahme neuer Gesellschafter</w:t>
      </w:r>
    </w:p>
    <w:p>
      <w:pPr>
        <w:pStyle w:val="ListBullet"/>
      </w:pPr>
      <w:r>
        <w:t>Verkauf wesentlicher Vermögenswerte (mehr als 25 Prozent des Bruttovermögens)</w:t>
      </w:r>
    </w:p>
    <w:p>
      <w:pPr>
        <w:pStyle w:val="ListBullet"/>
      </w:pPr>
      <w:r>
        <w:t>Token-Emission oder Ausgabe von Krypto-Werten</w:t>
      </w:r>
    </w:p>
    <w:p>
      <w:pPr>
        <w:pStyle w:val="ListBullet"/>
      </w:pPr>
      <w:r>
        <w:t>Aufnahme von Fremdkapital über 100.000 EUR</w:t>
      </w:r>
    </w:p>
    <w:p>
      <w:pPr>
        <w:pStyle w:val="ListBullet"/>
      </w:pPr>
      <w:r>
        <w:t>Vergütung der Geschäftsführerin oberhalb des im Geschäftsführerdienstvertrag festgelegten Rahmens</w:t>
      </w:r>
    </w:p>
    <w:p>
      <w:pPr>
        <w:pStyle w:val="Heading3"/>
      </w:pPr>
      <w:r>
        <w:rPr>
          <w:rFonts w:ascii="Times New Roman" w:hAnsi="Times New Roman"/>
        </w:rPr>
        <w:t>4. Liquidation Preference</w:t>
      </w:r>
    </w:p>
    <w:p>
      <w:pPr>
        <w:jc w:val="left"/>
      </w:pPr>
      <w:r>
        <w:t xml:space="preserve">Vom Investor zunächst vorgeschlagen: 1x non-participating. Die Gründer schlagen vor, </w:t>
      </w:r>
      <w:r>
        <w:rPr>
          <w:b/>
        </w:rPr>
        <w:t>keine Liquidation Preference</w:t>
      </w:r>
      <w:r>
        <w:t xml:space="preserve"> vorzusehen, da der Investitionsbetrag im Verhältnis zur Beteiligung gering ist. Diskussionspunkt für die Verhandlung.</w:t>
      </w:r>
    </w:p>
    <w:p>
      <w:pPr>
        <w:pStyle w:val="Heading3"/>
      </w:pPr>
      <w:r>
        <w:rPr>
          <w:rFonts w:ascii="Times New Roman" w:hAnsi="Times New Roman"/>
        </w:rPr>
        <w:t>5. Anti-Dilution</w:t>
      </w:r>
    </w:p>
    <w:p>
      <w:pPr>
        <w:jc w:val="left"/>
      </w:pPr>
      <w:r>
        <w:t>Vom Investor vorgeschlagen: Broad-based weighted average. Die Gründer halten dies bei einer 5-Prozent-Beteiligung für überdimensioniert, schlagen einen einfachen Pro-Rata-Schutz vor.</w:t>
      </w:r>
    </w:p>
    <w:p>
      <w:pPr>
        <w:pStyle w:val="Heading3"/>
      </w:pPr>
      <w:r>
        <w:rPr>
          <w:rFonts w:ascii="Times New Roman" w:hAnsi="Times New Roman"/>
        </w:rPr>
        <w:t>6. Use of Proceeds</w:t>
      </w:r>
    </w:p>
    <w:p>
      <w:pPr>
        <w:jc w:val="left"/>
      </w:pPr>
      <w:r>
        <w:t>50.000 EUR werden eingesetzt für:</w:t>
      </w:r>
    </w:p>
    <w:p>
      <w:pPr>
        <w:pStyle w:val="ListBullet"/>
      </w:pPr>
      <w:r>
        <w:t>18.000 EUR Personalkosten Jonas (zwei Monate Vollzeit für Protokoll-Entwicklung)</w:t>
      </w:r>
    </w:p>
    <w:p>
      <w:pPr>
        <w:pStyle w:val="ListBullet"/>
      </w:pPr>
      <w:r>
        <w:t>10.000 EUR Cloud- und Infrastrukturkosten</w:t>
      </w:r>
    </w:p>
    <w:p>
      <w:pPr>
        <w:pStyle w:val="ListBullet"/>
      </w:pPr>
      <w:r>
        <w:t>7.000 EUR Rechts- und Notarkosten (Side-Letter, IP-Vereinbarungen)</w:t>
      </w:r>
    </w:p>
    <w:p>
      <w:pPr>
        <w:pStyle w:val="ListBullet"/>
      </w:pPr>
      <w:r>
        <w:t>5.000 EUR Marketing-Setup</w:t>
      </w:r>
    </w:p>
    <w:p>
      <w:pPr>
        <w:pStyle w:val="ListBullet"/>
      </w:pPr>
      <w:r>
        <w:t>4.000 EUR Datenschutz und Compliance</w:t>
      </w:r>
    </w:p>
    <w:p>
      <w:pPr>
        <w:pStyle w:val="ListBullet"/>
      </w:pPr>
      <w:r>
        <w:t>6.000 EUR Liquiditätspuffer</w:t>
      </w:r>
    </w:p>
    <w:p>
      <w:pPr>
        <w:pStyle w:val="Heading3"/>
      </w:pPr>
      <w:r>
        <w:rPr>
          <w:rFonts w:ascii="Times New Roman" w:hAnsi="Times New Roman"/>
        </w:rPr>
        <w:t>7. Closing Conditions</w:t>
      </w:r>
    </w:p>
    <w:p>
      <w:pPr>
        <w:pStyle w:val="ListBullet"/>
      </w:pPr>
      <w:r>
        <w:t>Eintragung der Gesellschaft im Handelsregister</w:t>
      </w:r>
    </w:p>
    <w:p>
      <w:pPr>
        <w:pStyle w:val="ListBullet"/>
      </w:pPr>
      <w:r>
        <w:t>Unterzeichnung Side-Letter</w:t>
      </w:r>
    </w:p>
    <w:p>
      <w:pPr>
        <w:pStyle w:val="ListBullet"/>
      </w:pPr>
      <w:r>
        <w:t>IP-Assignment-Vereinbarungen der Gründer</w:t>
      </w:r>
    </w:p>
    <w:p>
      <w:pPr>
        <w:pStyle w:val="ListBullet"/>
      </w:pPr>
      <w:r>
        <w:t>Lizenzvertrag Domain und Repository zwischen Mira Holzbach und Gesellschaft</w:t>
      </w:r>
    </w:p>
    <w:p>
      <w:pPr>
        <w:pStyle w:val="ListBullet"/>
      </w:pPr>
      <w:r>
        <w:t>Kein Material Adverse Change zwischen Termsheet und Closing</w:t>
      </w:r>
    </w:p>
    <w:p>
      <w:pPr>
        <w:pStyle w:val="ListBullet"/>
      </w:pPr>
      <w:r>
        <w:t>Bestätigung des Steuerberaters über saubere Gründungsstruktur (Vermeidung verdeckter Sacheinlage)</w:t>
      </w:r>
    </w:p>
    <w:p>
      <w:pPr>
        <w:pStyle w:val="Heading3"/>
      </w:pPr>
      <w:r>
        <w:rPr>
          <w:rFonts w:ascii="Times New Roman" w:hAnsi="Times New Roman"/>
        </w:rPr>
        <w:t>8. Exklusivität</w:t>
      </w:r>
    </w:p>
    <w:p>
      <w:pPr>
        <w:jc w:val="left"/>
      </w:pPr>
      <w:r>
        <w:t>Pfaffenrode erhält eine sechswöchige Exklusivität ab Unterzeichnung des Termsheets. In dieser Zeit verhandeln die Gründer mit keinem anderen Investor über eine Beteiligung. Ausnahme: Gespräche mit strategischen Partnern ohne Investment-Komponente.</w:t>
      </w:r>
    </w:p>
    <w:p>
      <w:pPr>
        <w:pStyle w:val="Heading3"/>
      </w:pPr>
      <w:r>
        <w:rPr>
          <w:rFonts w:ascii="Times New Roman" w:hAnsi="Times New Roman"/>
        </w:rPr>
        <w:t>9. Geltendes Recht und Streitbeilegung</w:t>
      </w:r>
    </w:p>
    <w:p>
      <w:pPr>
        <w:jc w:val="left"/>
      </w:pPr>
      <w:r>
        <w:t>Side-Letter unterliegt deutschem Recht. Gerichtsstand Berlin. Vorgeschaltete Mediation für sechs Wochen vor Klage.</w:t>
      </w:r>
    </w:p>
    <w:p>
      <w:pPr>
        <w:pStyle w:val="Heading3"/>
      </w:pPr>
      <w:r>
        <w:rPr>
          <w:rFonts w:ascii="Times New Roman" w:hAnsi="Times New Roman"/>
        </w:rPr>
        <w:t>10. Unverbindlichkeit</w:t>
      </w:r>
    </w:p>
    <w:p>
      <w:pPr>
        <w:jc w:val="left"/>
      </w:pPr>
      <w:r>
        <w:t>Dieses Termsheet ist mit Ausnahme der Klauseln zu Exklusivität (Nummer 8) und Vertraulichkeit unverbindlich. Verbindlich werden die Konditionen erst mit notarieller Beurkundung der Kapitalerhöhung und Unterzeichnung des Side-Letters.</w:t>
      </w:r>
    </w:p>
    <w:p/>
    <w:p>
      <w:pPr>
        <w:jc w:val="left"/>
      </w:pPr>
      <w:r>
        <w:t>Berlin, 14.05.2026</w:t>
      </w:r>
    </w:p>
    <w:p>
      <w:pPr>
        <w:jc w:val="left"/>
      </w:pPr>
      <w:r>
        <w:t>Sebastian Pfaffenrode</w:t>
      </w:r>
    </w:p>
    <w:p>
      <w:pPr>
        <w:jc w:val="left"/>
      </w:pPr>
      <w:r>
        <w:t>Aylin Soeren, Jonas Kreutzberger, Mira Holzbach (vorbehaltlich gemeinsamer Gegenzeichnung)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