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Notarbriefing für Frau Dr. Katja Vermeulen — Satzungsentwurf NeuroChain Labs GmbH</w:t>
      </w:r>
    </w:p>
    <w:p>
      <w:pPr>
        <w:jc w:val="left"/>
      </w:pPr>
      <w:r>
        <w:t>Datum: Montag, 18.05.2026</w:t>
      </w:r>
    </w:p>
    <w:p>
      <w:pPr>
        <w:jc w:val="left"/>
      </w:pPr>
      <w:r>
        <w:t>Absender: Aylin Soeren, vorgesehene Geschäftsführerin</w:t>
      </w:r>
    </w:p>
    <w:p>
      <w:pPr>
        <w:jc w:val="left"/>
      </w:pPr>
      <w:r>
        <w:t>Empfängerin: Notarin Dr. Katja Vermeulen, Berlin-Mitte</w:t>
      </w:r>
    </w:p>
    <w:p>
      <w:pPr>
        <w:jc w:val="left"/>
      </w:pPr>
      <w:r>
        <w:t>Betreff: Satzungseckpunkte und Anmerkungen zur individuellen Satzung</w:t>
      </w:r>
    </w:p>
    <w:p>
      <w:pPr>
        <w:jc w:val="left"/>
      </w:pPr>
      <w:r>
        <w:t>Sehr geehrte Frau Dr. Vermeulen,</w:t>
      </w:r>
    </w:p>
    <w:p>
      <w:pPr>
        <w:jc w:val="left"/>
      </w:pPr>
      <w:r>
        <w:t xml:space="preserve">anbei die Eckpunkte für den Satzungsentwurf der </w:t>
      </w:r>
      <w:r>
        <w:rPr>
          <w:b/>
        </w:rPr>
        <w:t>NeuroChain Labs GmbH</w:t>
      </w:r>
      <w:r>
        <w:t xml:space="preserve"> (in Gründung), Sitz Berlin. Wir hatten Ihren Hinweis vom 13.05.2026 erhalten, dass das Musterprotokoll für unsere Konstellation nicht ausreicht. Wir entscheiden uns daher für eine individuelle Satzung.</w:t>
      </w:r>
    </w:p>
    <w:p>
      <w:pPr>
        <w:pStyle w:val="Heading2"/>
      </w:pPr>
      <w:r>
        <w:rPr>
          <w:rFonts w:ascii="Times New Roman" w:hAnsi="Times New Roman"/>
        </w:rPr>
        <w:t>1. Firma und Sitz</w:t>
      </w:r>
    </w:p>
    <w:p>
      <w:pPr>
        <w:pStyle w:val="ListBullet"/>
      </w:pPr>
      <w:r>
        <w:t xml:space="preserve">Firma: </w:t>
      </w:r>
      <w:r>
        <w:rPr>
          <w:b/>
        </w:rPr>
        <w:t>NeuroChain Labs GmbH</w:t>
      </w:r>
    </w:p>
    <w:p>
      <w:pPr>
        <w:pStyle w:val="ListBullet"/>
      </w:pPr>
      <w:r>
        <w:t>Sitz: Berlin</w:t>
      </w:r>
    </w:p>
    <w:p>
      <w:pPr>
        <w:pStyle w:val="ListBullet"/>
      </w:pPr>
      <w:r>
        <w:t>Geschäftsanschrift: c/o Hub Berlin-Mitte, Chausseestraße 117, 10115 Berlin (bis zum Bezug eigener Büroräume)</w:t>
      </w:r>
    </w:p>
    <w:p>
      <w:pPr>
        <w:jc w:val="left"/>
      </w:pPr>
      <w:r>
        <w:t>Sollte ein anderer Geschäftsanschriftensitz nötig sein, geben wir bis spätestens zum Notartermin Bescheid.</w:t>
      </w:r>
    </w:p>
    <w:p>
      <w:pPr>
        <w:pStyle w:val="Heading2"/>
      </w:pPr>
      <w:r>
        <w:rPr>
          <w:rFonts w:ascii="Times New Roman" w:hAnsi="Times New Roman"/>
        </w:rPr>
        <w:t>2. Unternehmensgegenstand</w:t>
      </w:r>
    </w:p>
    <w:p>
      <w:pPr>
        <w:jc w:val="left"/>
      </w:pPr>
      <w:r>
        <w:t>Gegenstand des Unternehmens ist die Entwicklung, der Betrieb und die Vermarktung von Software für die Orchestrierung autonomer KI-Agenten, einschließlich der Forschung und Entwicklung im Bereich Tokenisierung von Trainingsdaten und dezentraler Rechenkapazität. Die Gesellschaft kann sich an anderen Unternehmen beteiligen, Lizenzen erteilen und nehmen, Zweigniederlassungen errichten und alle Geschäfte tätigen, die dem Gesellschaftszweck unmittelbar oder mittelbar dienen. Erlaubnispflichtige Tätigkeiten sind ausgenommen, soweit nicht die erforderlichen behördlichen Erlaubnisse vorliegen.</w:t>
      </w:r>
    </w:p>
    <w:p>
      <w:pPr>
        <w:pStyle w:val="Heading2"/>
      </w:pPr>
      <w:r>
        <w:rPr>
          <w:rFonts w:ascii="Times New Roman" w:hAnsi="Times New Roman"/>
        </w:rPr>
        <w:t>3. Stammkapital und Geschäftsanteile</w:t>
      </w:r>
    </w:p>
    <w:p>
      <w:pPr>
        <w:pStyle w:val="ListBullet"/>
      </w:pPr>
      <w:r>
        <w:t xml:space="preserve">Stammkapital: </w:t>
      </w:r>
      <w:r>
        <w:rPr>
          <w:b/>
        </w:rPr>
        <w:t>25.000 EUR</w:t>
      </w:r>
    </w:p>
    <w:p>
      <w:pPr>
        <w:pStyle w:val="ListBullet"/>
      </w:pPr>
      <w:r>
        <w:t>Einlage zur Hälfte sofort: 12.500 EUR</w:t>
      </w:r>
    </w:p>
    <w:p>
      <w:pPr>
        <w:pStyle w:val="ListBullet"/>
      </w:pPr>
      <w:r>
        <w:t>Geschäftsanteile: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Gesellschafterin/Gesellschafter</w:t>
            </w:r>
          </w:p>
        </w:tc>
        <w:tc>
          <w:tcPr>
            <w:tcW w:type="dxa" w:w="3024"/>
          </w:tcPr>
          <w:p>
            <w:r>
              <w:rPr>
                <w:rFonts w:ascii="Times New Roman" w:hAnsi="Times New Roman"/>
                <w:b/>
                <w:sz w:val="20"/>
              </w:rPr>
              <w:t>Nennbetrag</w:t>
            </w:r>
          </w:p>
        </w:tc>
        <w:tc>
          <w:tcPr>
            <w:tcW w:type="dxa" w:w="3024"/>
          </w:tcPr>
          <w:p>
            <w:r>
              <w:rPr>
                <w:rFonts w:ascii="Times New Roman" w:hAnsi="Times New Roman"/>
                <w:b/>
                <w:sz w:val="20"/>
              </w:rPr>
              <w:t>Stammeinlage</w:t>
            </w:r>
          </w:p>
        </w:tc>
      </w:tr>
      <w:tr>
        <w:tc>
          <w:tcPr>
            <w:tcW w:type="dxa" w:w="3024"/>
          </w:tcPr>
          <w:p>
            <w:r>
              <w:rPr>
                <w:rFonts w:ascii="Times New Roman" w:hAnsi="Times New Roman"/>
                <w:sz w:val="20"/>
              </w:rPr>
              <w:t>Dr. 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sofort 4.500 EUR, Rest auf Anforderung</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sofort 4.500 EUR, Rest auf Anforderung</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sofort 3.500 EUR, Rest auf Anforderung</w:t>
            </w:r>
          </w:p>
        </w:tc>
      </w:tr>
      <w:tr>
        <w:tc>
          <w:tcPr>
            <w:tcW w:type="dxa" w:w="3024"/>
          </w:tcPr>
          <w:p>
            <w:r>
              <w:rPr>
                <w:rFonts w:ascii="Times New Roman" w:hAnsi="Times New Roman"/>
                <w:sz w:val="20"/>
              </w:rPr>
              <w:t>Summe</w:t>
            </w:r>
          </w:p>
        </w:tc>
        <w:tc>
          <w:tcPr>
            <w:tcW w:type="dxa" w:w="3024"/>
          </w:tcPr>
          <w:p>
            <w:r>
              <w:rPr>
                <w:rFonts w:ascii="Times New Roman" w:hAnsi="Times New Roman"/>
                <w:sz w:val="20"/>
              </w:rPr>
              <w:t>25.000 EUR</w:t>
            </w:r>
          </w:p>
        </w:tc>
        <w:tc>
          <w:tcPr>
            <w:tcW w:type="dxa" w:w="3024"/>
          </w:tcPr>
          <w:p>
            <w:r>
              <w:rPr>
                <w:rFonts w:ascii="Times New Roman" w:hAnsi="Times New Roman"/>
                <w:sz w:val="20"/>
              </w:rPr>
              <w:t>sofort 12.500 EUR</w:t>
            </w:r>
          </w:p>
        </w:tc>
      </w:tr>
    </w:tbl>
    <w:p>
      <w:pPr>
        <w:jc w:val="left"/>
      </w:pPr>
      <w:r>
        <w:t>Bareinlage. Sacheinlagen sind nicht vorgesehen.</w:t>
      </w:r>
    </w:p>
    <w:p>
      <w:pPr>
        <w:pStyle w:val="Heading2"/>
      </w:pPr>
      <w:r>
        <w:rPr>
          <w:rFonts w:ascii="Times New Roman" w:hAnsi="Times New Roman"/>
        </w:rPr>
        <w:t>4. Geschäftsführung und Vertretung</w:t>
      </w:r>
    </w:p>
    <w:p>
      <w:pPr>
        <w:pStyle w:val="ListBullet"/>
      </w:pPr>
      <w:r>
        <w:t xml:space="preserve">Erste Geschäftsführerin: </w:t>
      </w:r>
      <w:r>
        <w:rPr>
          <w:b/>
        </w:rPr>
        <w:t>Dr. Aylin Soeren</w:t>
      </w:r>
      <w:r>
        <w:t xml:space="preserve">, einzelvertretungsberechtigt, </w:t>
      </w:r>
      <w:r>
        <w:rPr>
          <w:b/>
        </w:rPr>
        <w:t>befreit von Paragraph 181 BGB</w:t>
      </w:r>
      <w:r>
        <w:t>.</w:t>
      </w:r>
    </w:p>
    <w:p>
      <w:pPr>
        <w:pStyle w:val="ListBullet"/>
      </w:pPr>
      <w:r>
        <w:t>Bestellung weiterer Geschäftsführer durch Beschluss der Gesellschafterversammlung mit einfacher Mehrheit.</w:t>
      </w:r>
    </w:p>
    <w:p>
      <w:pPr>
        <w:pStyle w:val="ListBullet"/>
      </w:pPr>
      <w:r>
        <w:t>Geschäftsführerdienstvertrag separat, nicht Teil der Satzung.</w:t>
      </w:r>
    </w:p>
    <w:p>
      <w:pPr>
        <w:pStyle w:val="Heading2"/>
      </w:pPr>
      <w:r>
        <w:rPr>
          <w:rFonts w:ascii="Times New Roman" w:hAnsi="Times New Roman"/>
        </w:rPr>
        <w:t>5. Geschäftsführer-Zustimmungsvorbehalte</w:t>
      </w:r>
    </w:p>
    <w:p>
      <w:pPr>
        <w:jc w:val="left"/>
      </w:pPr>
      <w:r>
        <w:t xml:space="preserve">In einer separaten Geschäftsführerordnung, </w:t>
      </w:r>
      <w:r>
        <w:rPr>
          <w:b/>
        </w:rPr>
        <w:t>nicht in der Satzung</w:t>
      </w:r>
      <w:r>
        <w:t>, werden Zustimmungsvorbehalte geregelt für:</w:t>
      </w:r>
    </w:p>
    <w:p>
      <w:pPr>
        <w:pStyle w:val="ListBullet"/>
      </w:pPr>
      <w:r>
        <w:t>Verträge mit einem Volumen über 10.000 EUR</w:t>
      </w:r>
    </w:p>
    <w:p>
      <w:pPr>
        <w:pStyle w:val="ListBullet"/>
      </w:pPr>
      <w:r>
        <w:t>Aufnahme neuer Mitarbeiterr</w:t>
      </w:r>
    </w:p>
    <w:p>
      <w:pPr>
        <w:pStyle w:val="ListBullet"/>
      </w:pPr>
      <w:r>
        <w:t>Verträge mit nahen Angehörigen oder beherrschenden Gesellschaftern</w:t>
      </w:r>
    </w:p>
    <w:p>
      <w:pPr>
        <w:pStyle w:val="ListBullet"/>
      </w:pPr>
      <w:r>
        <w:t>Token-Emission und Ausgabe von Krypto-Werten</w:t>
      </w:r>
    </w:p>
    <w:p>
      <w:pPr>
        <w:pStyle w:val="Heading2"/>
      </w:pPr>
      <w:r>
        <w:rPr>
          <w:rFonts w:ascii="Times New Roman" w:hAnsi="Times New Roman"/>
        </w:rPr>
        <w:t>6. Übertragung von Geschäftsanteilen — Vinkulierung</w:t>
      </w:r>
    </w:p>
    <w:p>
      <w:pPr>
        <w:pStyle w:val="ListBullet"/>
      </w:pPr>
      <w:r>
        <w:t>Geschäftsanteile dürfen nur mit Zustimmung der Gesellschafterversammlung übertragen werden.</w:t>
      </w:r>
    </w:p>
    <w:p>
      <w:pPr>
        <w:pStyle w:val="ListBullet"/>
      </w:pPr>
      <w:r>
        <w:t>Zustimmungsmehrheit: 75 Prozent der abgegebenen Stimmen.</w:t>
      </w:r>
    </w:p>
    <w:p>
      <w:pPr>
        <w:pStyle w:val="ListBullet"/>
      </w:pPr>
      <w:r>
        <w:t>Ausnahme: Übertragung an Ehepartner, Kinder, Eltern oder eine vom übertragenden Gesellschafter zu mehr als 90 Prozent gehaltene Holding bedarf keiner Zustimmung, ist aber der Gesellschaft anzuzeigen.</w:t>
      </w:r>
    </w:p>
    <w:p>
      <w:pPr>
        <w:pStyle w:val="Heading2"/>
      </w:pPr>
      <w:r>
        <w:rPr>
          <w:rFonts w:ascii="Times New Roman" w:hAnsi="Times New Roman"/>
        </w:rPr>
        <w:t>7. Einziehung von Geschäftsanteilen</w:t>
      </w:r>
    </w:p>
    <w:p>
      <w:pPr>
        <w:jc w:val="left"/>
      </w:pPr>
      <w:r>
        <w:t>Die Einziehung eines Geschäftsanteils ist zulässig, wenn:</w:t>
      </w:r>
    </w:p>
    <w:p>
      <w:pPr>
        <w:pStyle w:val="ListBullet"/>
      </w:pPr>
      <w:r>
        <w:t>der betroffene Gesellschafter zustimmt</w:t>
      </w:r>
    </w:p>
    <w:p>
      <w:pPr>
        <w:pStyle w:val="ListBullet"/>
      </w:pPr>
      <w:r>
        <w:t>über das Vermögen des Gesellschafters das Insolvenzverfahren eröffnet oder dessen Eröffnung mangels Masse abgelehnt wird</w:t>
      </w:r>
    </w:p>
    <w:p>
      <w:pPr>
        <w:pStyle w:val="ListBullet"/>
      </w:pPr>
      <w:r>
        <w:t>der Geschäftsanteil gepfändet wird und die Pfändung nicht binnen drei Monaten beseitigt wird</w:t>
      </w:r>
    </w:p>
    <w:p>
      <w:pPr>
        <w:pStyle w:val="ListBullet"/>
      </w:pPr>
      <w:r>
        <w:t>der Gesellschafter eine schwere Pflichtverletzung begeht, insbesondere gegen Wettbewerbsverbote oder Verschwiegenheitspflichten verstößt</w:t>
      </w:r>
    </w:p>
    <w:p>
      <w:pPr>
        <w:pStyle w:val="ListBullet"/>
      </w:pPr>
      <w:r>
        <w:t>ein vorzeitiges Ausscheiden im Sinne der Vesting-Regelung im Side-Letter erfolgt</w:t>
      </w:r>
    </w:p>
    <w:p>
      <w:pPr>
        <w:jc w:val="left"/>
      </w:pPr>
      <w:r>
        <w:t>Die Einziehung erfolgt durch Beschluss der Gesellschafterversammlung mit einfacher Mehrheit der abgegebenen Stimmen, ohne Mitwirkung des betroffenen Gesellschafters. Abfindung: bei Bad-Leaver Nominalwert, bei Good-Leaver Verkehrswert nach Bewertung durch einen unabhängigen Sachverständigen.</w:t>
      </w:r>
    </w:p>
    <w:p>
      <w:pPr>
        <w:pStyle w:val="Heading2"/>
      </w:pPr>
      <w:r>
        <w:rPr>
          <w:rFonts w:ascii="Times New Roman" w:hAnsi="Times New Roman"/>
        </w:rPr>
        <w:t>8. Wettbewerbsverbot</w:t>
      </w:r>
    </w:p>
    <w:p>
      <w:pPr>
        <w:jc w:val="left"/>
      </w:pPr>
      <w:r>
        <w:t>Gesellschafter unterliegen während der Dauer ihrer Beteiligung einem Wettbewerbsverbot. Die Gesellschafterversammlung kann durch einfachen Beschluss Befreiungen erteilen.</w:t>
      </w:r>
    </w:p>
    <w:p>
      <w:pPr>
        <w:pStyle w:val="Heading2"/>
      </w:pPr>
      <w:r>
        <w:rPr>
          <w:rFonts w:ascii="Times New Roman" w:hAnsi="Times New Roman"/>
        </w:rPr>
        <w:t>9. Beschlussfassung</w:t>
      </w:r>
    </w:p>
    <w:p>
      <w:pPr>
        <w:pStyle w:val="ListBullet"/>
      </w:pPr>
      <w:r>
        <w:t>Gesellschafterversammlung als Präsenzveranstaltung oder per Video, jeder Gesellschafter kann eine Präsenzversammlung verlangen.</w:t>
      </w:r>
    </w:p>
    <w:p>
      <w:pPr>
        <w:pStyle w:val="ListBullet"/>
      </w:pPr>
      <w:r>
        <w:t>Beschlüsse mit einfacher Mehrheit der abgegebenen Stimmen, soweit nicht Gesetz oder Satzung etwas anderes vorsehen.</w:t>
      </w:r>
    </w:p>
    <w:p>
      <w:pPr>
        <w:pStyle w:val="ListBullet"/>
      </w:pPr>
      <w:r>
        <w:t>Satzungsändernde Beschlüsse: 75 Prozent der abgegebenen Stimmen.</w:t>
      </w:r>
    </w:p>
    <w:p>
      <w:pPr>
        <w:pStyle w:val="Heading2"/>
      </w:pPr>
      <w:r>
        <w:rPr>
          <w:rFonts w:ascii="Times New Roman" w:hAnsi="Times New Roman"/>
        </w:rPr>
        <w:t>10. Geschäftsjahr und Bekanntmachungen</w:t>
      </w:r>
    </w:p>
    <w:p>
      <w:pPr>
        <w:pStyle w:val="ListBullet"/>
      </w:pPr>
      <w:r>
        <w:t>Geschäftsjahr: Kalenderjahr</w:t>
      </w:r>
    </w:p>
    <w:p>
      <w:pPr>
        <w:pStyle w:val="ListBullet"/>
      </w:pPr>
      <w:r>
        <w:t>Bekanntmachungen im Bundesanzeiger</w:t>
      </w:r>
    </w:p>
    <w:p>
      <w:pPr>
        <w:pStyle w:val="Heading2"/>
      </w:pPr>
      <w:r>
        <w:rPr>
          <w:rFonts w:ascii="Times New Roman" w:hAnsi="Times New Roman"/>
        </w:rPr>
        <w:t>11. Anmerkungen Notarin</w:t>
      </w:r>
    </w:p>
    <w:p>
      <w:pPr>
        <w:jc w:val="left"/>
      </w:pPr>
      <w:r>
        <w:t>Frau Dr. Vermeulen hatte folgende Anmerkungen per E-Mail vom 16.05.2026 übermittelt, die wir berücksichtigen:</w:t>
      </w:r>
    </w:p>
    <w:p>
      <w:pPr>
        <w:pStyle w:val="ListNumber"/>
      </w:pPr>
      <w:r>
        <w:rPr>
          <w:b/>
        </w:rPr>
        <w:t>Musterprotokoll</w:t>
      </w:r>
      <w:r>
        <w:t>: nicht möglich wegen Vinkulierung, Einziehung, 181-BGB-Befreiung. Bestätigt.</w:t>
      </w:r>
    </w:p>
    <w:p>
      <w:pPr>
        <w:pStyle w:val="ListNumber"/>
      </w:pPr>
      <w:r>
        <w:rPr>
          <w:b/>
        </w:rPr>
        <w:t>Vesting</w:t>
      </w:r>
      <w:r>
        <w:t>: nicht in der Satzung, sondern im Side-Letter. Die Einziehungsklausel in der Satzung dient als Sicherungsanker. Bestätigt.</w:t>
      </w:r>
    </w:p>
    <w:p>
      <w:pPr>
        <w:pStyle w:val="ListNumber"/>
      </w:pPr>
      <w:r>
        <w:rPr>
          <w:b/>
        </w:rPr>
        <w:t>Geschäftsanschrift</w:t>
      </w:r>
      <w:r>
        <w:t>: muss zustellfähig sein. Hub Berlin-Mitte hat Empfangsservice, akzeptabel.</w:t>
      </w:r>
    </w:p>
    <w:p>
      <w:pPr>
        <w:pStyle w:val="ListNumber"/>
      </w:pPr>
      <w:r>
        <w:rPr>
          <w:b/>
        </w:rPr>
        <w:t>Sacheinlage</w:t>
      </w:r>
      <w:r>
        <w:t>: ausgeschlossen, daher kein Sachgründungsbericht erforderlich. Bestätigt.</w:t>
      </w:r>
    </w:p>
    <w:p>
      <w:pPr>
        <w:pStyle w:val="ListNumber"/>
      </w:pPr>
      <w:r>
        <w:rPr>
          <w:b/>
        </w:rPr>
        <w:t>Domain und Repository</w:t>
      </w:r>
      <w:r>
        <w:t>: separater Lizenzvertrag, marktübliche Konditionen, sonst Risiko verdeckte Sacheinlage oder verdeckte Gewinnausschüttung. Bestätigt.</w:t>
      </w:r>
    </w:p>
    <w:p>
      <w:pPr>
        <w:pStyle w:val="ListNumber"/>
      </w:pPr>
      <w:r>
        <w:rPr>
          <w:b/>
        </w:rPr>
        <w:t>Geschäftsführerdienstvertrag</w:t>
      </w:r>
      <w:r>
        <w:t>: separat, nicht Teil der Satzung. Bestätigt.</w:t>
      </w:r>
    </w:p>
    <w:p>
      <w:pPr>
        <w:pStyle w:val="ListNumber"/>
      </w:pPr>
      <w:r>
        <w:rPr>
          <w:b/>
        </w:rPr>
        <w:t>Prokura für Mira Holzbach</w:t>
      </w:r>
      <w:r>
        <w:t>: nach Eintragung der Gesellschaft, separater Akt durch die Geschäftsführerin. Bestätigt.</w:t>
      </w:r>
    </w:p>
    <w:p>
      <w:pPr>
        <w:pStyle w:val="Heading2"/>
      </w:pPr>
      <w:r>
        <w:rPr>
          <w:rFonts w:ascii="Times New Roman" w:hAnsi="Times New Roman"/>
        </w:rPr>
        <w:t>12. Notartermin</w:t>
      </w:r>
    </w:p>
    <w:p>
      <w:pPr>
        <w:jc w:val="left"/>
      </w:pPr>
      <w:r>
        <w:t>Bevorzugter Termin: Mittwoch, 03.06.2026, 11:00 Uhr in Ihrem Büro Charlottenstraße. Alternativen: 02.06.2026, 10:00 Uhr oder 04.06.2026, 14:00 Uhr. Bitte um kurze Bestätigung.</w:t>
      </w:r>
    </w:p>
    <w:p>
      <w:pPr>
        <w:pStyle w:val="Heading2"/>
      </w:pPr>
      <w:r>
        <w:rPr>
          <w:rFonts w:ascii="Times New Roman" w:hAnsi="Times New Roman"/>
        </w:rPr>
        <w:t>13. Beilagen</w:t>
      </w:r>
    </w:p>
    <w:p>
      <w:pPr>
        <w:pStyle w:val="ListBullet"/>
      </w:pPr>
      <w:r>
        <w:t>Entwurf Satzung (Anlage 1) — folgt in separater Datei</w:t>
      </w:r>
    </w:p>
    <w:p>
      <w:pPr>
        <w:pStyle w:val="ListBullet"/>
      </w:pPr>
      <w:r>
        <w:t>Entwurf Side-Letter (Anlage 2) — folgt durch Pfaffenrode</w:t>
      </w:r>
    </w:p>
    <w:p>
      <w:pPr>
        <w:pStyle w:val="ListBullet"/>
      </w:pPr>
      <w:r>
        <w:t>Entwurf Geschäftsführerdienstvertrag (Anlage 3) — folgt durch Eichbaum</w:t>
      </w:r>
    </w:p>
    <w:p>
      <w:pPr>
        <w:pStyle w:val="ListBullet"/>
      </w:pPr>
      <w:r>
        <w:t>Entwurf Lizenzvertrag Domain und Repository (Anlage 4) — wird von Mira vorbereitet</w:t>
      </w:r>
    </w:p>
    <w:p>
      <w:pPr>
        <w:pStyle w:val="ListBullet"/>
      </w:pPr>
      <w:r>
        <w:t>Vollmacht für Notaranmeldung (Anlage 5) — Frau Dr. Vermeulen erstellt</w:t>
      </w:r>
    </w:p>
    <w:p>
      <w:pPr>
        <w:jc w:val="left"/>
      </w:pPr>
      <w:r>
        <w:t>Mit freundlichen Grüßen</w:t>
      </w:r>
    </w:p>
    <w:p>
      <w:pPr>
        <w:jc w:val="left"/>
      </w:pPr>
      <w:r>
        <w:t>Dr. Aylin Soeren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