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Vergleich: Musterprotokoll vs. individuelle Satzung — Entscheidungshilfe für NeuroChain Labs GmbH</w:t>
      </w:r>
    </w:p>
    <w:p>
      <w:pPr>
        <w:jc w:val="left"/>
      </w:pPr>
      <w:r>
        <w:t>Dieser Vergleich dokumentiert die Entscheidungsgrundlage der Gründer. Er ist als Arbeitsdokument zwischen Aylin, Jonas und Mira entstanden und nicht für Veröffentlichung bestimmt.</w:t>
      </w:r>
    </w:p>
    <w:p>
      <w:pPr>
        <w:pStyle w:val="Heading2"/>
      </w:pPr>
      <w:r>
        <w:rPr>
          <w:rFonts w:ascii="Times New Roman" w:hAnsi="Times New Roman"/>
        </w:rPr>
        <w:t>1. Rechtsgrundlage</w:t>
      </w:r>
    </w:p>
    <w:p>
      <w:pPr>
        <w:jc w:val="left"/>
      </w:pPr>
      <w:r>
        <w:t>Das Musterprotokoll für die UG (haftungsbeschränkt) und die GmbH mit höchstens drei Gesellschaftern ist in der Anlage zu Paragraph 2 Absatz 1a GmbHG geregelt. Es verbindet:</w:t>
      </w:r>
    </w:p>
    <w:p>
      <w:pPr>
        <w:pStyle w:val="ListBullet"/>
      </w:pPr>
      <w:r>
        <w:t>den Gesellschaftsvertrag (Satzung),</w:t>
      </w:r>
    </w:p>
    <w:p>
      <w:pPr>
        <w:pStyle w:val="ListBullet"/>
      </w:pPr>
      <w:r>
        <w:t>die Geschäftsführerbestellung,</w:t>
      </w:r>
    </w:p>
    <w:p>
      <w:pPr>
        <w:pStyle w:val="ListBullet"/>
      </w:pPr>
      <w:r>
        <w:t>die Gesellschafterliste</w:t>
      </w:r>
    </w:p>
    <w:p>
      <w:pPr>
        <w:jc w:val="left"/>
      </w:pPr>
      <w:r>
        <w:t>in einem einzigen Beschluss, der notariell beurkundet werden muss, aber weniger Gebühren verursacht (Halbierung des Geschäftswerts bei Bareinlage bis 25.000 EUR).</w:t>
      </w:r>
    </w:p>
    <w:p>
      <w:pPr>
        <w:pStyle w:val="Heading2"/>
      </w:pPr>
      <w:r>
        <w:rPr>
          <w:rFonts w:ascii="Times New Roman" w:hAnsi="Times New Roman"/>
        </w:rPr>
        <w:t>2. Voraussetzungen Musterprotokoll</w:t>
      </w:r>
    </w:p>
    <w:p>
      <w:pPr>
        <w:pStyle w:val="ListBullet"/>
      </w:pPr>
      <w:r>
        <w:t>höchstens drei Gesellschafter</w:t>
      </w:r>
    </w:p>
    <w:p>
      <w:pPr>
        <w:pStyle w:val="ListBullet"/>
      </w:pPr>
      <w:r>
        <w:t xml:space="preserve">nur </w:t>
      </w:r>
      <w:r>
        <w:rPr>
          <w:b/>
        </w:rPr>
        <w:t>eine</w:t>
      </w:r>
      <w:r>
        <w:t xml:space="preserve"> Geschäftsführerin oder ein Geschäftsführer</w:t>
      </w:r>
    </w:p>
    <w:p>
      <w:pPr>
        <w:pStyle w:val="ListBullet"/>
      </w:pPr>
      <w:r>
        <w:t>Bareinlage zwingend (keine Sacheinlage)</w:t>
      </w:r>
    </w:p>
    <w:p>
      <w:pPr>
        <w:pStyle w:val="ListBullet"/>
      </w:pPr>
      <w:r>
        <w:t>Stammkapital frei wählbar bis Höchstgrenze 25.000 EUR bei reduzierten Notargebühren</w:t>
      </w:r>
    </w:p>
    <w:p>
      <w:pPr>
        <w:pStyle w:val="ListBullet"/>
      </w:pPr>
      <w:r>
        <w:rPr>
          <w:b/>
        </w:rPr>
        <w:t>keine Abweichungen</w:t>
      </w:r>
      <w:r>
        <w:t xml:space="preserve"> vom Wortlaut zulässig: Ergänzungen oder Streichungen sind nicht möglich, ohne dass die Erleichterung wegfällt</w:t>
      </w:r>
    </w:p>
    <w:p>
      <w:pPr>
        <w:pStyle w:val="Heading2"/>
      </w:pPr>
      <w:r>
        <w:rPr>
          <w:rFonts w:ascii="Times New Roman" w:hAnsi="Times New Roman"/>
        </w:rPr>
        <w:t xml:space="preserve">3. Was das Musterprotokoll </w:t>
      </w:r>
      <w:r>
        <w:rPr>
          <w:rFonts w:ascii="Times New Roman" w:hAnsi="Times New Roman"/>
          <w:b/>
        </w:rPr>
        <w:t>nicht</w:t>
      </w:r>
      <w:r>
        <w:rPr>
          <w:rFonts w:ascii="Times New Roman" w:hAnsi="Times New Roman"/>
        </w:rPr>
        <w:t xml:space="preserve"> regelt</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Thema</w:t>
            </w:r>
          </w:p>
        </w:tc>
        <w:tc>
          <w:tcPr>
            <w:tcW w:type="dxa" w:w="4536"/>
          </w:tcPr>
          <w:p>
            <w:r>
              <w:rPr>
                <w:rFonts w:ascii="Times New Roman" w:hAnsi="Times New Roman"/>
                <w:b/>
                <w:sz w:val="20"/>
              </w:rPr>
              <w:t>im Musterprotokoll?</w:t>
            </w:r>
          </w:p>
        </w:tc>
      </w:tr>
      <w:tr>
        <w:tc>
          <w:tcPr>
            <w:tcW w:type="dxa" w:w="4536"/>
          </w:tcPr>
          <w:p>
            <w:r>
              <w:rPr>
                <w:rFonts w:ascii="Times New Roman" w:hAnsi="Times New Roman"/>
                <w:sz w:val="20"/>
              </w:rPr>
              <w:t>Vinkulierung der Geschäftsanteile</w:t>
            </w:r>
          </w:p>
        </w:tc>
        <w:tc>
          <w:tcPr>
            <w:tcW w:type="dxa" w:w="4536"/>
          </w:tcPr>
          <w:p>
            <w:r>
              <w:rPr>
                <w:rFonts w:ascii="Times New Roman" w:hAnsi="Times New Roman"/>
                <w:sz w:val="20"/>
              </w:rPr>
              <w:t>nein</w:t>
            </w:r>
          </w:p>
        </w:tc>
      </w:tr>
      <w:tr>
        <w:tc>
          <w:tcPr>
            <w:tcW w:type="dxa" w:w="4536"/>
          </w:tcPr>
          <w:p>
            <w:r>
              <w:rPr>
                <w:rFonts w:ascii="Times New Roman" w:hAnsi="Times New Roman"/>
                <w:sz w:val="20"/>
              </w:rPr>
              <w:t>Einziehungsmöglichkeit bei wichtigem Grund</w:t>
            </w:r>
          </w:p>
        </w:tc>
        <w:tc>
          <w:tcPr>
            <w:tcW w:type="dxa" w:w="4536"/>
          </w:tcPr>
          <w:p>
            <w:r>
              <w:rPr>
                <w:rFonts w:ascii="Times New Roman" w:hAnsi="Times New Roman"/>
                <w:sz w:val="20"/>
              </w:rPr>
              <w:t>nein</w:t>
            </w:r>
          </w:p>
        </w:tc>
      </w:tr>
      <w:tr>
        <w:tc>
          <w:tcPr>
            <w:tcW w:type="dxa" w:w="4536"/>
          </w:tcPr>
          <w:p>
            <w:r>
              <w:rPr>
                <w:rFonts w:ascii="Times New Roman" w:hAnsi="Times New Roman"/>
                <w:sz w:val="20"/>
              </w:rPr>
              <w:t>Befreiung von Paragraph 181 BGB</w:t>
            </w:r>
          </w:p>
        </w:tc>
        <w:tc>
          <w:tcPr>
            <w:tcW w:type="dxa" w:w="4536"/>
          </w:tcPr>
          <w:p>
            <w:r>
              <w:rPr>
                <w:rFonts w:ascii="Times New Roman" w:hAnsi="Times New Roman"/>
                <w:sz w:val="20"/>
              </w:rPr>
              <w:t>nein</w:t>
            </w:r>
          </w:p>
        </w:tc>
      </w:tr>
      <w:tr>
        <w:tc>
          <w:tcPr>
            <w:tcW w:type="dxa" w:w="4536"/>
          </w:tcPr>
          <w:p>
            <w:r>
              <w:rPr>
                <w:rFonts w:ascii="Times New Roman" w:hAnsi="Times New Roman"/>
                <w:sz w:val="20"/>
              </w:rPr>
              <w:t>Vorerwerbsrecht / Andienungsrecht</w:t>
            </w:r>
          </w:p>
        </w:tc>
        <w:tc>
          <w:tcPr>
            <w:tcW w:type="dxa" w:w="4536"/>
          </w:tcPr>
          <w:p>
            <w:r>
              <w:rPr>
                <w:rFonts w:ascii="Times New Roman" w:hAnsi="Times New Roman"/>
                <w:sz w:val="20"/>
              </w:rPr>
              <w:t>nein</w:t>
            </w:r>
          </w:p>
        </w:tc>
      </w:tr>
      <w:tr>
        <w:tc>
          <w:tcPr>
            <w:tcW w:type="dxa" w:w="4536"/>
          </w:tcPr>
          <w:p>
            <w:r>
              <w:rPr>
                <w:rFonts w:ascii="Times New Roman" w:hAnsi="Times New Roman"/>
                <w:sz w:val="20"/>
              </w:rPr>
              <w:t>erweiterte Beschlussmehrheiten</w:t>
            </w:r>
          </w:p>
        </w:tc>
        <w:tc>
          <w:tcPr>
            <w:tcW w:type="dxa" w:w="4536"/>
          </w:tcPr>
          <w:p>
            <w:r>
              <w:rPr>
                <w:rFonts w:ascii="Times New Roman" w:hAnsi="Times New Roman"/>
                <w:sz w:val="20"/>
              </w:rPr>
              <w:t>nein</w:t>
            </w:r>
          </w:p>
        </w:tc>
      </w:tr>
      <w:tr>
        <w:tc>
          <w:tcPr>
            <w:tcW w:type="dxa" w:w="4536"/>
          </w:tcPr>
          <w:p>
            <w:r>
              <w:rPr>
                <w:rFonts w:ascii="Times New Roman" w:hAnsi="Times New Roman"/>
                <w:sz w:val="20"/>
              </w:rPr>
              <w:t>Wettbewerbsverbot der Gesellschafter</w:t>
            </w:r>
          </w:p>
        </w:tc>
        <w:tc>
          <w:tcPr>
            <w:tcW w:type="dxa" w:w="4536"/>
          </w:tcPr>
          <w:p>
            <w:r>
              <w:rPr>
                <w:rFonts w:ascii="Times New Roman" w:hAnsi="Times New Roman"/>
                <w:sz w:val="20"/>
              </w:rPr>
              <w:t>nein</w:t>
            </w:r>
          </w:p>
        </w:tc>
      </w:tr>
      <w:tr>
        <w:tc>
          <w:tcPr>
            <w:tcW w:type="dxa" w:w="4536"/>
          </w:tcPr>
          <w:p>
            <w:r>
              <w:rPr>
                <w:rFonts w:ascii="Times New Roman" w:hAnsi="Times New Roman"/>
                <w:sz w:val="20"/>
              </w:rPr>
              <w:t>Zustimmungsvorbehalte des Geschäftsführers</w:t>
            </w:r>
          </w:p>
        </w:tc>
        <w:tc>
          <w:tcPr>
            <w:tcW w:type="dxa" w:w="4536"/>
          </w:tcPr>
          <w:p>
            <w:r>
              <w:rPr>
                <w:rFonts w:ascii="Times New Roman" w:hAnsi="Times New Roman"/>
                <w:sz w:val="20"/>
              </w:rPr>
              <w:t>nein</w:t>
            </w:r>
          </w:p>
        </w:tc>
      </w:tr>
      <w:tr>
        <w:tc>
          <w:tcPr>
            <w:tcW w:type="dxa" w:w="4536"/>
          </w:tcPr>
          <w:p>
            <w:r>
              <w:rPr>
                <w:rFonts w:ascii="Times New Roman" w:hAnsi="Times New Roman"/>
                <w:sz w:val="20"/>
              </w:rPr>
              <w:t>Vesting / Reverse Vesting</w:t>
            </w:r>
          </w:p>
        </w:tc>
        <w:tc>
          <w:tcPr>
            <w:tcW w:type="dxa" w:w="4536"/>
          </w:tcPr>
          <w:p>
            <w:r>
              <w:rPr>
                <w:rFonts w:ascii="Times New Roman" w:hAnsi="Times New Roman"/>
                <w:sz w:val="20"/>
              </w:rPr>
              <w:t>nein (gehört ohnehin nicht in die Satzung)</w:t>
            </w:r>
          </w:p>
        </w:tc>
      </w:tr>
      <w:tr>
        <w:tc>
          <w:tcPr>
            <w:tcW w:type="dxa" w:w="4536"/>
          </w:tcPr>
          <w:p>
            <w:r>
              <w:rPr>
                <w:rFonts w:ascii="Times New Roman" w:hAnsi="Times New Roman"/>
                <w:sz w:val="20"/>
              </w:rPr>
              <w:t>qualifizierte Mehrheit für Satzungsänderung</w:t>
            </w:r>
          </w:p>
        </w:tc>
        <w:tc>
          <w:tcPr>
            <w:tcW w:type="dxa" w:w="4536"/>
          </w:tcPr>
          <w:p>
            <w:r>
              <w:rPr>
                <w:rFonts w:ascii="Times New Roman" w:hAnsi="Times New Roman"/>
                <w:sz w:val="20"/>
              </w:rPr>
              <w:t>nein (es gilt die gesetzliche Mehrheit nach Paragraph 53 GmbHG, also 75 Prozent)</w:t>
            </w:r>
          </w:p>
        </w:tc>
      </w:tr>
    </w:tbl>
    <w:p>
      <w:pPr>
        <w:jc w:val="left"/>
      </w:pPr>
      <w:r>
        <w:t xml:space="preserve">Wichtig: einige dieser Punkte (z.B. 181-BGB-Befreiung) sind im Musterprotokoll deshalb nicht regelbar, weil dort nur die Geschäftsführerbestellung als Akt enthalten ist, nicht aber die Befreiung. Ohne ausdrückliche Befreiung greift Paragraph 181 BGB </w:t>
      </w:r>
      <w:r>
        <w:rPr>
          <w:b/>
        </w:rPr>
        <w:t>gegen</w:t>
      </w:r>
      <w:r>
        <w:t xml:space="preserve"> die Geschäftsführerin: jedes Insichgeschäft ist schwebend unwirksam.</w:t>
      </w:r>
    </w:p>
    <w:p>
      <w:pPr>
        <w:pStyle w:val="Heading2"/>
      </w:pPr>
      <w:r>
        <w:rPr>
          <w:rFonts w:ascii="Times New Roman" w:hAnsi="Times New Roman"/>
        </w:rPr>
        <w:t>4. Konsequenzen für unsere Konstellation</w:t>
      </w:r>
    </w:p>
    <w:p>
      <w:pPr>
        <w:jc w:val="left"/>
      </w:pPr>
      <w:r>
        <w:t>Wir wollen:</w:t>
      </w:r>
    </w:p>
    <w:p>
      <w:pPr>
        <w:pStyle w:val="ListNumber"/>
      </w:pPr>
      <w:r>
        <w:t xml:space="preserve">eine Geschäftsführerin (Aylin Soeren) mit 181-BGB-Befreiung — passt </w:t>
      </w:r>
      <w:r>
        <w:rPr>
          <w:b/>
        </w:rPr>
        <w:t>nicht</w:t>
      </w:r>
      <w:r>
        <w:t xml:space="preserve"> ins Musterprotokoll</w:t>
      </w:r>
    </w:p>
    <w:p>
      <w:pPr>
        <w:pStyle w:val="ListNumber"/>
      </w:pPr>
      <w:r>
        <w:t xml:space="preserve">Vinkulierung (Schutz vor unkontrollierten Anteilsverkäufen) — passt </w:t>
      </w:r>
      <w:r>
        <w:rPr>
          <w:b/>
        </w:rPr>
        <w:t>nicht</w:t>
      </w:r>
      <w:r>
        <w:t xml:space="preserve"> ins Musterprotokoll</w:t>
      </w:r>
    </w:p>
    <w:p>
      <w:pPr>
        <w:pStyle w:val="ListNumber"/>
      </w:pPr>
      <w:r>
        <w:t xml:space="preserve">Einziehungsklausel als Sicherungsanker für Vesting — passt </w:t>
      </w:r>
      <w:r>
        <w:rPr>
          <w:b/>
        </w:rPr>
        <w:t>nicht</w:t>
      </w:r>
      <w:r>
        <w:t xml:space="preserve"> ins Musterprotokoll</w:t>
      </w:r>
    </w:p>
    <w:p>
      <w:pPr>
        <w:pStyle w:val="ListNumber"/>
      </w:pPr>
      <w:r>
        <w:t>Pro-Rata-Rechte und Vetorechte des Angels — gehören in den Side-Letter, sind also unabhängig</w:t>
      </w:r>
    </w:p>
    <w:p>
      <w:pPr>
        <w:pStyle w:val="ListNumber"/>
      </w:pPr>
      <w:r>
        <w:t xml:space="preserve">erweiterte Beschlussmehrheiten für bestimmte Punkte — passt </w:t>
      </w:r>
      <w:r>
        <w:rPr>
          <w:b/>
        </w:rPr>
        <w:t>nicht</w:t>
      </w:r>
      <w:r>
        <w:t xml:space="preserve"> ins Musterprotokoll</w:t>
      </w:r>
    </w:p>
    <w:p>
      <w:pPr>
        <w:jc w:val="left"/>
      </w:pPr>
      <w:r>
        <w:t xml:space="preserve">Daher bleibt keine andere Wahl als eine </w:t>
      </w:r>
      <w:r>
        <w:rPr>
          <w:b/>
        </w:rPr>
        <w:t>individuelle Satzung mit Vollbeurkundung</w:t>
      </w:r>
      <w:r>
        <w:t>.</w:t>
      </w:r>
    </w:p>
    <w:p>
      <w:pPr>
        <w:pStyle w:val="Heading2"/>
      </w:pPr>
      <w:r>
        <w:rPr>
          <w:rFonts w:ascii="Times New Roman" w:hAnsi="Times New Roman"/>
        </w:rPr>
        <w:t>5. Kostenvergleich</w:t>
      </w:r>
    </w:p>
    <w:p>
      <w:pPr>
        <w:jc w:val="left"/>
      </w:pPr>
      <w:r>
        <w:t>Nach KostO/GNotKG (Stand 2026, ohne Gewähr):</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Position</w:t>
            </w:r>
          </w:p>
        </w:tc>
        <w:tc>
          <w:tcPr>
            <w:tcW w:type="dxa" w:w="3024"/>
          </w:tcPr>
          <w:p>
            <w:r>
              <w:rPr>
                <w:rFonts w:ascii="Times New Roman" w:hAnsi="Times New Roman"/>
                <w:b/>
                <w:sz w:val="20"/>
              </w:rPr>
              <w:t>Musterprotokoll (GmbH, 25k Stammkapital, 3 Gesellschafter)</w:t>
            </w:r>
          </w:p>
        </w:tc>
        <w:tc>
          <w:tcPr>
            <w:tcW w:type="dxa" w:w="3024"/>
          </w:tcPr>
          <w:p>
            <w:r>
              <w:rPr>
                <w:rFonts w:ascii="Times New Roman" w:hAnsi="Times New Roman"/>
                <w:b/>
                <w:sz w:val="20"/>
              </w:rPr>
              <w:t>individuelle Satzung</w:t>
            </w:r>
          </w:p>
        </w:tc>
      </w:tr>
      <w:tr>
        <w:tc>
          <w:tcPr>
            <w:tcW w:type="dxa" w:w="3024"/>
          </w:tcPr>
          <w:p>
            <w:r>
              <w:rPr>
                <w:rFonts w:ascii="Times New Roman" w:hAnsi="Times New Roman"/>
                <w:sz w:val="20"/>
              </w:rPr>
              <w:t>Beurkundungsgebühr (Geschäftswert reduziert)</w:t>
            </w:r>
          </w:p>
        </w:tc>
        <w:tc>
          <w:tcPr>
            <w:tcW w:type="dxa" w:w="3024"/>
          </w:tcPr>
          <w:p>
            <w:r>
              <w:rPr>
                <w:rFonts w:ascii="Times New Roman" w:hAnsi="Times New Roman"/>
                <w:sz w:val="20"/>
              </w:rPr>
              <w:t>ca. 125 EUR</w:t>
            </w:r>
          </w:p>
        </w:tc>
        <w:tc>
          <w:tcPr>
            <w:tcW w:type="dxa" w:w="3024"/>
          </w:tcPr>
          <w:p>
            <w:r>
              <w:rPr>
                <w:rFonts w:ascii="Times New Roman" w:hAnsi="Times New Roman"/>
                <w:sz w:val="20"/>
              </w:rPr>
              <w:t>ca. 250 EUR</w:t>
            </w:r>
          </w:p>
        </w:tc>
      </w:tr>
      <w:tr>
        <w:tc>
          <w:tcPr>
            <w:tcW w:type="dxa" w:w="3024"/>
          </w:tcPr>
          <w:p>
            <w:r>
              <w:rPr>
                <w:rFonts w:ascii="Times New Roman" w:hAnsi="Times New Roman"/>
                <w:sz w:val="20"/>
              </w:rPr>
              <w:t>Anmeldung Handelsregister</w:t>
            </w:r>
          </w:p>
        </w:tc>
        <w:tc>
          <w:tcPr>
            <w:tcW w:type="dxa" w:w="3024"/>
          </w:tcPr>
          <w:p>
            <w:r>
              <w:rPr>
                <w:rFonts w:ascii="Times New Roman" w:hAnsi="Times New Roman"/>
                <w:sz w:val="20"/>
              </w:rPr>
              <w:t>ca. 70 EUR</w:t>
            </w:r>
          </w:p>
        </w:tc>
        <w:tc>
          <w:tcPr>
            <w:tcW w:type="dxa" w:w="3024"/>
          </w:tcPr>
          <w:p>
            <w:r>
              <w:rPr>
                <w:rFonts w:ascii="Times New Roman" w:hAnsi="Times New Roman"/>
                <w:sz w:val="20"/>
              </w:rPr>
              <w:t>ca. 100 EUR</w:t>
            </w:r>
          </w:p>
        </w:tc>
      </w:tr>
      <w:tr>
        <w:tc>
          <w:tcPr>
            <w:tcW w:type="dxa" w:w="3024"/>
          </w:tcPr>
          <w:p>
            <w:r>
              <w:rPr>
                <w:rFonts w:ascii="Times New Roman" w:hAnsi="Times New Roman"/>
                <w:sz w:val="20"/>
              </w:rPr>
              <w:t>Gerichtskosten Handelsregister</w:t>
            </w:r>
          </w:p>
        </w:tc>
        <w:tc>
          <w:tcPr>
            <w:tcW w:type="dxa" w:w="3024"/>
          </w:tcPr>
          <w:p>
            <w:r>
              <w:rPr>
                <w:rFonts w:ascii="Times New Roman" w:hAnsi="Times New Roman"/>
                <w:sz w:val="20"/>
              </w:rPr>
              <w:t>ca. 150 EUR</w:t>
            </w:r>
          </w:p>
        </w:tc>
        <w:tc>
          <w:tcPr>
            <w:tcW w:type="dxa" w:w="3024"/>
          </w:tcPr>
          <w:p>
            <w:r>
              <w:rPr>
                <w:rFonts w:ascii="Times New Roman" w:hAnsi="Times New Roman"/>
                <w:sz w:val="20"/>
              </w:rPr>
              <w:t>ca. 150 EUR</w:t>
            </w:r>
          </w:p>
        </w:tc>
      </w:tr>
      <w:tr>
        <w:tc>
          <w:tcPr>
            <w:tcW w:type="dxa" w:w="3024"/>
          </w:tcPr>
          <w:p>
            <w:r>
              <w:rPr>
                <w:rFonts w:ascii="Times New Roman" w:hAnsi="Times New Roman"/>
                <w:sz w:val="20"/>
              </w:rPr>
              <w:t>Beratungs-/Entwurfsgebühr Notar</w:t>
            </w:r>
          </w:p>
        </w:tc>
        <w:tc>
          <w:tcPr>
            <w:tcW w:type="dxa" w:w="3024"/>
          </w:tcPr>
          <w:p>
            <w:r>
              <w:rPr>
                <w:rFonts w:ascii="Times New Roman" w:hAnsi="Times New Roman"/>
                <w:sz w:val="20"/>
              </w:rPr>
              <w:t>gering, da Standard</w:t>
            </w:r>
          </w:p>
        </w:tc>
        <w:tc>
          <w:tcPr>
            <w:tcW w:type="dxa" w:w="3024"/>
          </w:tcPr>
          <w:p>
            <w:r>
              <w:rPr>
                <w:rFonts w:ascii="Times New Roman" w:hAnsi="Times New Roman"/>
                <w:sz w:val="20"/>
              </w:rPr>
              <w:t>ca. 500 bis 800 EUR</w:t>
            </w:r>
          </w:p>
        </w:tc>
      </w:tr>
      <w:tr>
        <w:tc>
          <w:tcPr>
            <w:tcW w:type="dxa" w:w="3024"/>
          </w:tcPr>
          <w:p>
            <w:r>
              <w:rPr>
                <w:rFonts w:ascii="Times New Roman" w:hAnsi="Times New Roman"/>
                <w:sz w:val="20"/>
              </w:rPr>
              <w:t>Summe (ohne MwSt.)</w:t>
            </w:r>
          </w:p>
        </w:tc>
        <w:tc>
          <w:tcPr>
            <w:tcW w:type="dxa" w:w="3024"/>
          </w:tcPr>
          <w:p>
            <w:r>
              <w:rPr>
                <w:rFonts w:ascii="Times New Roman" w:hAnsi="Times New Roman"/>
                <w:sz w:val="20"/>
              </w:rPr>
              <w:t>ca. 350 EUR</w:t>
            </w:r>
          </w:p>
        </w:tc>
        <w:tc>
          <w:tcPr>
            <w:tcW w:type="dxa" w:w="3024"/>
          </w:tcPr>
          <w:p>
            <w:r>
              <w:rPr>
                <w:rFonts w:ascii="Times New Roman" w:hAnsi="Times New Roman"/>
                <w:sz w:val="20"/>
              </w:rPr>
              <w:t>ca. 1.000 bis 1.300 EUR</w:t>
            </w:r>
          </w:p>
        </w:tc>
      </w:tr>
    </w:tbl>
    <w:p>
      <w:pPr>
        <w:jc w:val="left"/>
      </w:pPr>
      <w:r>
        <w:t>Differenz also rund 700 bis 1.000 EUR. Diesen Aufpreis akzeptieren wir, weil wir die Schutzklauseln ohne individuelle Satzung schlicht nicht bekommen.</w:t>
      </w:r>
    </w:p>
    <w:p>
      <w:pPr>
        <w:pStyle w:val="Heading2"/>
      </w:pPr>
      <w:r>
        <w:rPr>
          <w:rFonts w:ascii="Times New Roman" w:hAnsi="Times New Roman"/>
        </w:rPr>
        <w:t>6. Risiken bei späterer Umstellung</w:t>
      </w:r>
    </w:p>
    <w:p>
      <w:pPr>
        <w:jc w:val="left"/>
      </w:pPr>
      <w:r>
        <w:t>Wäre ein nachträgliches Ergänzen einer Musterprotokoll-Satzung um Vinkulierung und Vesting möglich? Ja, aber jede Satzungsänderung erfordert eine notarielle Beurkundung und einen Beschluss mit 75 Prozent. Die Kostenersparnis aus dem Musterprotokoll verpufft beim ersten Änderungsbedarf. Außerdem wäre die Satzung dann ein Flickwerk aus standardisiertem Musterprotokoll-Text und individuellen Klauseln, was die Lesbarkeit erheblich beeinträchtigt.</w:t>
      </w:r>
    </w:p>
    <w:p>
      <w:pPr>
        <w:pStyle w:val="Heading2"/>
      </w:pPr>
      <w:r>
        <w:rPr>
          <w:rFonts w:ascii="Times New Roman" w:hAnsi="Times New Roman"/>
        </w:rPr>
        <w:t>7. Entscheidung</w:t>
      </w:r>
    </w:p>
    <w:p>
      <w:pPr>
        <w:jc w:val="left"/>
      </w:pPr>
      <w:r>
        <w:t xml:space="preserve">Wir gründen die </w:t>
      </w:r>
      <w:r>
        <w:rPr>
          <w:b/>
        </w:rPr>
        <w:t>NeuroChain Labs GmbH</w:t>
      </w:r>
      <w:r>
        <w:t xml:space="preserve"> mit:</w:t>
      </w:r>
    </w:p>
    <w:p>
      <w:pPr>
        <w:pStyle w:val="ListBullet"/>
      </w:pPr>
      <w:r>
        <w:t>individueller Satzung (Vollbeurkundung)</w:t>
      </w:r>
    </w:p>
    <w:p>
      <w:pPr>
        <w:pStyle w:val="ListBullet"/>
      </w:pPr>
      <w:r>
        <w:t>Stammkapital 25.000 EUR, Bareinlage zur Hälfte</w:t>
      </w:r>
    </w:p>
    <w:p>
      <w:pPr>
        <w:pStyle w:val="ListBullet"/>
      </w:pPr>
      <w:r>
        <w:t>einer Geschäftsführerin mit 181-BGB-Befreiung</w:t>
      </w:r>
    </w:p>
    <w:p>
      <w:pPr>
        <w:pStyle w:val="ListBullet"/>
      </w:pPr>
      <w:r>
        <w:t>Vinkulierung, Einziehungsklausel, erweiterten Beschlussmehrheiten</w:t>
      </w:r>
    </w:p>
    <w:p>
      <w:pPr>
        <w:pStyle w:val="ListBullet"/>
      </w:pPr>
      <w:r>
        <w:t>ergänzendem Side-Letter mit Pfaffenrode für Vesting, Pro-Rata, Vetorechte und Information Rights</w:t>
      </w:r>
    </w:p>
    <w:p>
      <w:pPr>
        <w:jc w:val="left"/>
      </w:pPr>
      <w:r>
        <w:t>Diese Entscheidung wurde im Workshop am 15.05.2026 einstimmig getroffen und bleibt bis zum Notartermin am 03.06.2026 verbindlich.</w:t>
      </w:r>
    </w:p>
    <w:p/>
    <w:p>
      <w:pPr>
        <w:jc w:val="left"/>
      </w:pPr>
      <w:r>
        <w:t>Berlin, 17.05.2026</w:t>
      </w:r>
    </w:p>
    <w:p>
      <w:pPr>
        <w:jc w:val="left"/>
      </w:pPr>
      <w:r>
        <w:t>Aylin / Jonas / Mira</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